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41E4" w14:textId="38C3461E" w:rsidR="00584623" w:rsidRPr="00032377" w:rsidRDefault="00EB552D">
      <w:pPr>
        <w:rPr>
          <w:rFonts w:ascii="Merriweather Black" w:hAnsi="Merriweather Black"/>
          <w:color w:val="165788" w:themeColor="text1"/>
          <w:sz w:val="36"/>
          <w:szCs w:val="36"/>
        </w:rPr>
      </w:pPr>
      <w:r w:rsidRPr="00EB552D">
        <w:rPr>
          <w:rFonts w:ascii="Merriweather Black" w:hAnsi="Merriweather Black"/>
          <w:color w:val="165788" w:themeColor="text1"/>
          <w:sz w:val="36"/>
          <w:szCs w:val="36"/>
        </w:rPr>
        <w:t>Mailers Hub News</w:t>
      </w:r>
    </w:p>
    <w:p w14:paraId="4ACBB78D" w14:textId="23B3036D" w:rsidR="000127AD" w:rsidRPr="00032377" w:rsidRDefault="003C4DFA">
      <w:pPr>
        <w:rPr>
          <w:rFonts w:cstheme="minorHAnsi"/>
          <w:i/>
          <w:iCs/>
          <w:color w:val="165788" w:themeColor="text1"/>
        </w:rPr>
      </w:pPr>
      <w:r>
        <w:rPr>
          <w:rFonts w:ascii="Merriweather Black" w:hAnsi="Merriweather Black"/>
          <w:color w:val="165788" w:themeColor="text1"/>
        </w:rPr>
        <w:t>Dec</w:t>
      </w:r>
      <w:r w:rsidR="001D09FF">
        <w:rPr>
          <w:rFonts w:ascii="Merriweather Black" w:hAnsi="Merriweather Black"/>
          <w:color w:val="165788" w:themeColor="text1"/>
        </w:rPr>
        <w:t>em</w:t>
      </w:r>
      <w:r w:rsidR="0009141E">
        <w:rPr>
          <w:rFonts w:ascii="Merriweather Black" w:hAnsi="Merriweather Black"/>
          <w:color w:val="165788" w:themeColor="text1"/>
        </w:rPr>
        <w:t>ber</w:t>
      </w:r>
      <w:r w:rsidR="00EB552D">
        <w:rPr>
          <w:rFonts w:ascii="Merriweather Black" w:hAnsi="Merriweather Black"/>
          <w:color w:val="165788" w:themeColor="text1"/>
        </w:rPr>
        <w:t xml:space="preserve"> </w:t>
      </w:r>
      <w:proofErr w:type="gramStart"/>
      <w:r w:rsidR="00EB552D">
        <w:rPr>
          <w:rFonts w:ascii="Merriweather Black" w:hAnsi="Merriweather Black"/>
          <w:color w:val="165788" w:themeColor="text1"/>
        </w:rPr>
        <w:t>Summary</w:t>
      </w:r>
      <w:r w:rsidR="002E669B">
        <w:rPr>
          <w:rFonts w:ascii="Merriweather Black" w:hAnsi="Merriweather Black"/>
          <w:color w:val="165788" w:themeColor="text1"/>
        </w:rPr>
        <w:t xml:space="preserve">  </w:t>
      </w:r>
      <w:r w:rsidR="00032377">
        <w:rPr>
          <w:rFonts w:cstheme="minorHAnsi"/>
          <w:i/>
          <w:iCs/>
          <w:color w:val="165788" w:themeColor="text1"/>
        </w:rPr>
        <w:t>From</w:t>
      </w:r>
      <w:proofErr w:type="gramEnd"/>
      <w:r w:rsidR="00032377">
        <w:rPr>
          <w:rFonts w:cstheme="minorHAnsi"/>
          <w:i/>
          <w:iCs/>
          <w:color w:val="165788" w:themeColor="text1"/>
        </w:rPr>
        <w:t xml:space="preserve"> the </w:t>
      </w:r>
      <w:r>
        <w:rPr>
          <w:rFonts w:cstheme="minorHAnsi"/>
          <w:i/>
          <w:iCs/>
          <w:color w:val="165788" w:themeColor="text1"/>
        </w:rPr>
        <w:t>Dec</w:t>
      </w:r>
      <w:r w:rsidR="001D09FF">
        <w:rPr>
          <w:rFonts w:cstheme="minorHAnsi"/>
          <w:i/>
          <w:iCs/>
          <w:color w:val="165788" w:themeColor="text1"/>
        </w:rPr>
        <w:t>em</w:t>
      </w:r>
      <w:r w:rsidR="0009141E">
        <w:rPr>
          <w:rFonts w:cstheme="minorHAnsi"/>
          <w:i/>
          <w:iCs/>
          <w:color w:val="165788" w:themeColor="text1"/>
        </w:rPr>
        <w:t>ber</w:t>
      </w:r>
      <w:r w:rsidR="006C3A3F">
        <w:rPr>
          <w:rFonts w:cstheme="minorHAnsi"/>
          <w:i/>
          <w:iCs/>
          <w:color w:val="165788" w:themeColor="text1"/>
        </w:rPr>
        <w:t xml:space="preserve"> </w:t>
      </w:r>
      <w:r>
        <w:rPr>
          <w:rFonts w:cstheme="minorHAnsi"/>
          <w:i/>
          <w:iCs/>
          <w:color w:val="165788" w:themeColor="text1"/>
        </w:rPr>
        <w:t>4</w:t>
      </w:r>
      <w:r w:rsidR="006C3A3F">
        <w:rPr>
          <w:rFonts w:cstheme="minorHAnsi"/>
          <w:i/>
          <w:iCs/>
          <w:color w:val="165788" w:themeColor="text1"/>
        </w:rPr>
        <w:t xml:space="preserve"> and </w:t>
      </w:r>
      <w:r>
        <w:rPr>
          <w:rFonts w:cstheme="minorHAnsi"/>
          <w:i/>
          <w:iCs/>
          <w:color w:val="165788" w:themeColor="text1"/>
        </w:rPr>
        <w:t>18</w:t>
      </w:r>
      <w:r w:rsidR="00032377">
        <w:rPr>
          <w:rFonts w:cstheme="minorHAnsi"/>
          <w:i/>
          <w:iCs/>
          <w:color w:val="165788" w:themeColor="text1"/>
        </w:rPr>
        <w:t xml:space="preserve"> issue</w:t>
      </w:r>
      <w:r w:rsidR="00190834">
        <w:rPr>
          <w:rFonts w:cstheme="minorHAnsi"/>
          <w:i/>
          <w:iCs/>
          <w:color w:val="165788" w:themeColor="text1"/>
        </w:rPr>
        <w:t>s</w:t>
      </w:r>
    </w:p>
    <w:p w14:paraId="3FD11A43" w14:textId="2DDD5C7D" w:rsidR="0079418D" w:rsidRDefault="002272ED" w:rsidP="00C9158B">
      <w:pPr>
        <w:pStyle w:val="PPSub"/>
        <w:spacing w:before="240"/>
      </w:pPr>
      <w:r w:rsidRPr="002272ED">
        <w:t>USPS Plans to Lose $6.3 Billion in FY 2024</w:t>
      </w:r>
    </w:p>
    <w:p w14:paraId="0DC5B679" w14:textId="041366F6" w:rsidR="002743D3" w:rsidRDefault="002743D3" w:rsidP="002743D3">
      <w:pPr>
        <w:pStyle w:val="PPtext"/>
        <w:spacing w:before="60"/>
      </w:pPr>
      <w:r>
        <w:t xml:space="preserve">According to the Postal Service’s </w:t>
      </w:r>
      <w:r>
        <w:rPr>
          <w:i/>
          <w:iCs/>
        </w:rPr>
        <w:t>Fiscal Year 2024 Integrated Financial Plan</w:t>
      </w:r>
      <w:r>
        <w:t xml:space="preserve">, released November 20, the agency plans to lose $6.3 billion over the period (October 1, 2023, through September 30, 2024).  Release of the plan was a week after the USPS Board of Governors’ meeting at which a FY 2023 loss of $6.5 billion was announced.  The </w:t>
      </w:r>
      <w:r>
        <w:rPr>
          <w:i/>
          <w:iCs/>
        </w:rPr>
        <w:t>IFP</w:t>
      </w:r>
      <w:r>
        <w:t xml:space="preserve"> also projects that volume will plummet by another 7.7%, falling to 107.2 billion pieces, just over half of FY 2006 volume.</w:t>
      </w:r>
      <w:r w:rsidR="00C7684D">
        <w:t xml:space="preserve">  </w:t>
      </w:r>
      <w:r>
        <w:t>Meanwhile, revenue is forecast to edge slightly up to $81.7 billion, helped by price increases in January and July 2024 designed to extract yet more money from the decreasing number of ratepayers still tolerating semi-annual rate hikes.</w:t>
      </w:r>
    </w:p>
    <w:p w14:paraId="63AFFFCD" w14:textId="3B425ABE" w:rsidR="009E7F31" w:rsidRDefault="009E7F31" w:rsidP="009E7F31">
      <w:pPr>
        <w:pStyle w:val="PPtext"/>
      </w:pPr>
      <w:r>
        <w:t xml:space="preserve">The USPS began </w:t>
      </w:r>
      <w:r w:rsidR="00C7684D">
        <w:t xml:space="preserve">the document </w:t>
      </w:r>
      <w:r>
        <w:t>by reprising its explanations for the FY 2023 results, diverting any explanation for what caused plunging volume and meager revenue away from any role that aggressive price increases could have played:</w:t>
      </w:r>
    </w:p>
    <w:p w14:paraId="71F53443" w14:textId="77777777" w:rsidR="009E7F31" w:rsidRDefault="009E7F31" w:rsidP="009E7F31">
      <w:pPr>
        <w:pStyle w:val="PPquote"/>
        <w:ind w:right="0"/>
      </w:pPr>
      <w:r>
        <w:t>“</w:t>
      </w:r>
      <w:r w:rsidRPr="00EC3E2D">
        <w:t xml:space="preserve">Controllable loss for 2023 was $2.3 billion, $2.8 billion worse than the planned $0.5 billion controllable income. </w:t>
      </w:r>
      <w:r>
        <w:t xml:space="preserve"> </w:t>
      </w:r>
      <w:r w:rsidRPr="00EC3E2D">
        <w:t xml:space="preserve">This variance is primarily due to </w:t>
      </w:r>
      <w:r w:rsidRPr="00EC3E2D">
        <w:rPr>
          <w:shd w:val="clear" w:color="auto" w:fill="F5E9CC" w:themeFill="background2" w:themeFillTint="33"/>
        </w:rPr>
        <w:t>lower mail volume than planned</w:t>
      </w:r>
      <w:r w:rsidRPr="00EC3E2D">
        <w:t>, inflationary pressures, and efforts to improve service.</w:t>
      </w:r>
      <w:r>
        <w:t>”</w:t>
      </w:r>
    </w:p>
    <w:p w14:paraId="66E2D18B" w14:textId="77777777" w:rsidR="009E7F31" w:rsidRDefault="009E7F31" w:rsidP="009E7F31">
      <w:pPr>
        <w:pStyle w:val="PPtext"/>
        <w:spacing w:before="60"/>
      </w:pPr>
      <w:r>
        <w:t>The same approach was taken when explaining projected FY 2024 volume and revenue:</w:t>
      </w:r>
    </w:p>
    <w:p w14:paraId="268DAE38" w14:textId="77777777" w:rsidR="009E7F31" w:rsidRPr="00A55967" w:rsidRDefault="009E7F31" w:rsidP="009E7F31">
      <w:pPr>
        <w:pStyle w:val="PPquote"/>
        <w:ind w:right="0"/>
        <w:rPr>
          <w:spacing w:val="-1"/>
        </w:rPr>
      </w:pPr>
      <w:r w:rsidRPr="00A55967">
        <w:rPr>
          <w:spacing w:val="-1"/>
        </w:rPr>
        <w:t xml:space="preserve">“We project a </w:t>
      </w:r>
      <w:r w:rsidRPr="00A55967">
        <w:rPr>
          <w:spacing w:val="-1"/>
          <w:shd w:val="clear" w:color="auto" w:fill="F5E9CC" w:themeFill="background2" w:themeFillTint="33"/>
        </w:rPr>
        <w:t>decline</w:t>
      </w:r>
      <w:r w:rsidRPr="00A55967">
        <w:rPr>
          <w:spacing w:val="-1"/>
        </w:rPr>
        <w:t xml:space="preserve"> for First-Class Mail, reflecting the ongoing migration of communications and transactions out of First-Class Mail into electronic media.  USPS Marketing Mail volume is also expected to </w:t>
      </w:r>
      <w:r w:rsidRPr="00A55967">
        <w:rPr>
          <w:spacing w:val="-1"/>
          <w:shd w:val="clear" w:color="auto" w:fill="F5E9CC" w:themeFill="background2" w:themeFillTint="33"/>
        </w:rPr>
        <w:t>decline</w:t>
      </w:r>
      <w:r w:rsidRPr="00A55967">
        <w:rPr>
          <w:spacing w:val="-1"/>
        </w:rPr>
        <w:t xml:space="preserve"> as marketers continue to leverage technology to target customers and increase their investment in digital advertising at the expense of hard-copy media.  Periodicals volume is expected to </w:t>
      </w:r>
      <w:r w:rsidRPr="00A55967">
        <w:rPr>
          <w:spacing w:val="-1"/>
          <w:shd w:val="clear" w:color="auto" w:fill="F5E9CC" w:themeFill="background2" w:themeFillTint="33"/>
        </w:rPr>
        <w:t>decline</w:t>
      </w:r>
      <w:r w:rsidRPr="00A55967">
        <w:rPr>
          <w:spacing w:val="-1"/>
        </w:rPr>
        <w:t xml:space="preserve"> as newspaper and magazine readership continues to migrate to online media; while Market Dominant mail and periodical volumes are expected to decline, as show in the revenue table [left]. ... </w:t>
      </w:r>
      <w:r w:rsidRPr="00A55967">
        <w:rPr>
          <w:spacing w:val="-1"/>
          <w:shd w:val="clear" w:color="auto" w:fill="F5E9CC" w:themeFill="background2" w:themeFillTint="33"/>
        </w:rPr>
        <w:t>Revenue from domestic mail products is expected to be flat in 2024.</w:t>
      </w:r>
      <w:r w:rsidRPr="00A55967">
        <w:rPr>
          <w:spacing w:val="-1"/>
        </w:rPr>
        <w:t xml:space="preserve">  First-Class Mail revenue is expected to increase, Marketing Mail revenue is expected to decrease, and Periodicals revenue is expected remain approximately the same.”</w:t>
      </w:r>
    </w:p>
    <w:p w14:paraId="24616353" w14:textId="77777777" w:rsidR="009E7F31" w:rsidRDefault="009E7F31" w:rsidP="009E7F31">
      <w:pPr>
        <w:pStyle w:val="PPtext"/>
        <w:spacing w:before="60"/>
      </w:pPr>
      <w:r>
        <w:t>Meanwhile, the USPS continued its dubious reliance on package volume to save the bottom line:</w:t>
      </w:r>
    </w:p>
    <w:p w14:paraId="472C3DD8" w14:textId="77777777" w:rsidR="009E7F31" w:rsidRDefault="009E7F31" w:rsidP="009E7F31">
      <w:pPr>
        <w:pStyle w:val="PPquote"/>
        <w:ind w:right="0"/>
      </w:pPr>
      <w:r>
        <w:t>“</w:t>
      </w:r>
      <w:r w:rsidRPr="00D34075">
        <w:t xml:space="preserve">Package volume is expected to increase due to </w:t>
      </w:r>
      <w:r w:rsidRPr="00454BF5">
        <w:rPr>
          <w:shd w:val="clear" w:color="auto" w:fill="F5E9CC" w:themeFill="background2" w:themeFillTint="33"/>
        </w:rPr>
        <w:t>our aggressive efforts</w:t>
      </w:r>
      <w:r w:rsidRPr="00D34075">
        <w:t xml:space="preserve"> to grow our market share. </w:t>
      </w:r>
      <w:r>
        <w:t xml:space="preserve"> </w:t>
      </w:r>
      <w:r w:rsidRPr="00D34075">
        <w:t xml:space="preserve">Our network improvements and streamlined product line (including the launch of USPS Ground Advantage) are </w:t>
      </w:r>
      <w:r w:rsidRPr="00454BF5">
        <w:rPr>
          <w:shd w:val="clear" w:color="auto" w:fill="F5E9CC" w:themeFill="background2" w:themeFillTint="33"/>
        </w:rPr>
        <w:t>expected</w:t>
      </w:r>
      <w:r w:rsidRPr="00D34075">
        <w:t xml:space="preserve"> to result in </w:t>
      </w:r>
      <w:r w:rsidRPr="00454BF5">
        <w:t>improved service</w:t>
      </w:r>
      <w:r w:rsidRPr="00D34075">
        <w:t xml:space="preserve">. </w:t>
      </w:r>
      <w:r>
        <w:t xml:space="preserve"> </w:t>
      </w:r>
      <w:r w:rsidRPr="00D34075">
        <w:t>Our sales team has been reorganized to capitalize on these advantages to grow our package business.</w:t>
      </w:r>
      <w:r>
        <w:t xml:space="preserve"> ... </w:t>
      </w:r>
      <w:r w:rsidRPr="00D8046C">
        <w:t xml:space="preserve">Domestic shipping and package revenue is </w:t>
      </w:r>
      <w:r w:rsidRPr="00454BF5">
        <w:rPr>
          <w:shd w:val="clear" w:color="auto" w:fill="F5E9CC" w:themeFill="background2" w:themeFillTint="33"/>
        </w:rPr>
        <w:t>expected</w:t>
      </w:r>
      <w:r w:rsidRPr="00D8046C">
        <w:t xml:space="preserve"> to account for approximately 41% of total revenues in 2024. </w:t>
      </w:r>
      <w:r>
        <w:t xml:space="preserve"> </w:t>
      </w:r>
      <w:r w:rsidRPr="00D8046C">
        <w:t xml:space="preserve">Revenue from this category is </w:t>
      </w:r>
      <w:r w:rsidRPr="00454BF5">
        <w:rPr>
          <w:shd w:val="clear" w:color="auto" w:fill="F5E9CC" w:themeFill="background2" w:themeFillTint="33"/>
        </w:rPr>
        <w:t>expected</w:t>
      </w:r>
      <w:r w:rsidRPr="00D8046C">
        <w:t xml:space="preserve"> to increase due to increased volume and modest price increases.</w:t>
      </w:r>
      <w:r>
        <w:t>”</w:t>
      </w:r>
    </w:p>
    <w:p w14:paraId="33810CCB" w14:textId="309F7EDF" w:rsidR="0068705F" w:rsidRDefault="00425E76" w:rsidP="00A17A93">
      <w:pPr>
        <w:pStyle w:val="PPtext"/>
        <w:spacing w:after="40"/>
      </w:pPr>
      <w:r>
        <w:t>And ... as for The Plan</w:t>
      </w:r>
      <w:r w:rsidR="00EF29DA">
        <w:t xml:space="preserve"> ... w</w:t>
      </w:r>
      <w:r>
        <w:t xml:space="preserve">hen it was issued it boldly forecast a $1.7 billion surplus in FY 2024, $8 billion better than what the USPS has now projected.  </w:t>
      </w:r>
      <w:r w:rsidR="00717972">
        <w:t xml:space="preserve">This has led to </w:t>
      </w:r>
      <w:r w:rsidR="00D23041">
        <w:t>increasing interest in reworking The Plan’s e</w:t>
      </w:r>
      <w:r w:rsidR="00031591">
        <w:t>s</w:t>
      </w:r>
      <w:r w:rsidR="00D23041">
        <w:t>timates</w:t>
      </w:r>
      <w:r>
        <w:t>.</w:t>
      </w:r>
    </w:p>
    <w:tbl>
      <w:tblPr>
        <w:tblStyle w:val="TableGrid"/>
        <w:tblpPr w:rightFromText="72" w:vertAnchor="text" w:horzAnchor="margin" w:tblpY="40"/>
        <w:tblOverlap w:val="never"/>
        <w:tblW w:w="0" w:type="auto"/>
        <w:tblBorders>
          <w:top w:val="single" w:sz="12" w:space="0" w:color="165788" w:themeColor="text1"/>
          <w:left w:val="single" w:sz="12" w:space="0" w:color="165788" w:themeColor="text1"/>
          <w:bottom w:val="single" w:sz="12" w:space="0" w:color="165788" w:themeColor="text1"/>
          <w:right w:val="single" w:sz="12" w:space="0" w:color="165788" w:themeColor="text1"/>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432"/>
        <w:gridCol w:w="720"/>
        <w:gridCol w:w="720"/>
        <w:gridCol w:w="792"/>
        <w:gridCol w:w="720"/>
        <w:gridCol w:w="720"/>
        <w:gridCol w:w="792"/>
      </w:tblGrid>
      <w:tr w:rsidR="002B54C0" w:rsidRPr="00BD3A90" w14:paraId="308E9828" w14:textId="77777777" w:rsidTr="002B54C0">
        <w:tc>
          <w:tcPr>
            <w:tcW w:w="432" w:type="dxa"/>
            <w:vMerge w:val="restart"/>
            <w:tcBorders>
              <w:top w:val="single" w:sz="12" w:space="0" w:color="165788" w:themeColor="text1"/>
              <w:right w:val="single" w:sz="4" w:space="0" w:color="165788" w:themeColor="text1"/>
            </w:tcBorders>
            <w:shd w:val="clear" w:color="auto" w:fill="C2DFF5" w:themeFill="text1" w:themeFillTint="33"/>
            <w:vAlign w:val="center"/>
          </w:tcPr>
          <w:p w14:paraId="198D5293" w14:textId="77777777" w:rsidR="002B54C0" w:rsidRPr="00BD3A90" w:rsidRDefault="002B54C0" w:rsidP="002B54C0">
            <w:pPr>
              <w:pStyle w:val="PPtext"/>
              <w:spacing w:before="0"/>
              <w:jc w:val="center"/>
              <w:rPr>
                <w:sz w:val="18"/>
                <w:szCs w:val="18"/>
              </w:rPr>
            </w:pPr>
            <w:bookmarkStart w:id="0" w:name="_Hlk153552709"/>
            <w:r w:rsidRPr="00BD3A90">
              <w:rPr>
                <w:sz w:val="18"/>
                <w:szCs w:val="18"/>
              </w:rPr>
              <w:t>FY</w:t>
            </w:r>
          </w:p>
        </w:tc>
        <w:tc>
          <w:tcPr>
            <w:tcW w:w="2232" w:type="dxa"/>
            <w:gridSpan w:val="3"/>
            <w:tcBorders>
              <w:top w:val="single" w:sz="12" w:space="0" w:color="165788" w:themeColor="text1"/>
              <w:bottom w:val="single" w:sz="4" w:space="0" w:color="165788" w:themeColor="text1"/>
              <w:right w:val="single" w:sz="4" w:space="0" w:color="165788" w:themeColor="text1"/>
            </w:tcBorders>
            <w:shd w:val="clear" w:color="auto" w:fill="F5E9CC" w:themeFill="background2" w:themeFillTint="33"/>
          </w:tcPr>
          <w:p w14:paraId="5DA57E48" w14:textId="77777777" w:rsidR="002B54C0" w:rsidRPr="00BD3A90" w:rsidRDefault="002B54C0" w:rsidP="002B54C0">
            <w:pPr>
              <w:pStyle w:val="PPtext"/>
              <w:spacing w:before="0"/>
              <w:jc w:val="center"/>
              <w:rPr>
                <w:sz w:val="18"/>
                <w:szCs w:val="18"/>
              </w:rPr>
            </w:pPr>
            <w:r w:rsidRPr="004A3800">
              <w:rPr>
                <w:b/>
                <w:bCs/>
                <w:sz w:val="18"/>
                <w:szCs w:val="18"/>
              </w:rPr>
              <w:t>No Plan</w:t>
            </w:r>
            <w:r>
              <w:rPr>
                <w:sz w:val="18"/>
                <w:szCs w:val="18"/>
              </w:rPr>
              <w:t xml:space="preserve"> </w:t>
            </w:r>
            <w:r w:rsidRPr="00BD3A90">
              <w:rPr>
                <w:sz w:val="18"/>
                <w:szCs w:val="18"/>
              </w:rPr>
              <w:t>Project</w:t>
            </w:r>
            <w:r>
              <w:rPr>
                <w:sz w:val="18"/>
                <w:szCs w:val="18"/>
              </w:rPr>
              <w:t>ion (Billions)</w:t>
            </w:r>
          </w:p>
        </w:tc>
        <w:tc>
          <w:tcPr>
            <w:tcW w:w="2232" w:type="dxa"/>
            <w:gridSpan w:val="3"/>
            <w:tcBorders>
              <w:top w:val="single" w:sz="12" w:space="0" w:color="165788" w:themeColor="text1"/>
            </w:tcBorders>
            <w:shd w:val="clear" w:color="auto" w:fill="F5E9CC" w:themeFill="background2" w:themeFillTint="33"/>
          </w:tcPr>
          <w:p w14:paraId="30EA88CB" w14:textId="77777777" w:rsidR="002B54C0" w:rsidRPr="00BD3A90" w:rsidRDefault="002B54C0" w:rsidP="002B54C0">
            <w:pPr>
              <w:pStyle w:val="PPtext"/>
              <w:spacing w:before="0"/>
              <w:jc w:val="center"/>
              <w:rPr>
                <w:sz w:val="18"/>
                <w:szCs w:val="18"/>
              </w:rPr>
            </w:pPr>
            <w:r w:rsidRPr="004A3800">
              <w:rPr>
                <w:b/>
                <w:bCs/>
                <w:sz w:val="18"/>
                <w:szCs w:val="18"/>
              </w:rPr>
              <w:t>With Plan</w:t>
            </w:r>
            <w:r>
              <w:rPr>
                <w:sz w:val="18"/>
                <w:szCs w:val="18"/>
              </w:rPr>
              <w:t xml:space="preserve"> Projection (Billions)</w:t>
            </w:r>
          </w:p>
        </w:tc>
      </w:tr>
      <w:tr w:rsidR="002B54C0" w:rsidRPr="00BD3A90" w14:paraId="2599C595" w14:textId="77777777" w:rsidTr="002B54C0">
        <w:tc>
          <w:tcPr>
            <w:tcW w:w="432" w:type="dxa"/>
            <w:vMerge/>
            <w:tcBorders>
              <w:bottom w:val="single" w:sz="4" w:space="0" w:color="165788" w:themeColor="text1"/>
              <w:right w:val="single" w:sz="4" w:space="0" w:color="165788" w:themeColor="text1"/>
            </w:tcBorders>
            <w:shd w:val="clear" w:color="auto" w:fill="C2DFF5" w:themeFill="text1" w:themeFillTint="33"/>
          </w:tcPr>
          <w:p w14:paraId="69700A26" w14:textId="77777777" w:rsidR="002B54C0" w:rsidRPr="00BD3A90" w:rsidRDefault="002B54C0" w:rsidP="002B54C0">
            <w:pPr>
              <w:pStyle w:val="PPtext"/>
              <w:spacing w:before="0"/>
              <w:jc w:val="center"/>
              <w:rPr>
                <w:sz w:val="18"/>
                <w:szCs w:val="18"/>
              </w:rPr>
            </w:pPr>
          </w:p>
        </w:tc>
        <w:tc>
          <w:tcPr>
            <w:tcW w:w="720" w:type="dxa"/>
            <w:tcBorders>
              <w:top w:val="single" w:sz="4" w:space="0" w:color="165788" w:themeColor="text1"/>
              <w:bottom w:val="single" w:sz="4" w:space="0" w:color="165788" w:themeColor="text1"/>
              <w:right w:val="single" w:sz="4" w:space="0" w:color="165788" w:themeColor="text1"/>
            </w:tcBorders>
            <w:shd w:val="clear" w:color="auto" w:fill="C2DFF5" w:themeFill="text1" w:themeFillTint="33"/>
          </w:tcPr>
          <w:p w14:paraId="0A4248EC" w14:textId="77777777" w:rsidR="002B54C0" w:rsidRPr="00BD3A90" w:rsidRDefault="002B54C0" w:rsidP="002B54C0">
            <w:pPr>
              <w:pStyle w:val="PPtext"/>
              <w:spacing w:before="0"/>
              <w:jc w:val="center"/>
              <w:rPr>
                <w:sz w:val="18"/>
                <w:szCs w:val="18"/>
              </w:rPr>
            </w:pPr>
            <w:r w:rsidRPr="00BD3A90">
              <w:rPr>
                <w:sz w:val="18"/>
                <w:szCs w:val="18"/>
              </w:rPr>
              <w:t>Revenue</w:t>
            </w:r>
          </w:p>
        </w:tc>
        <w:tc>
          <w:tcPr>
            <w:tcW w:w="720" w:type="dxa"/>
            <w:tcBorders>
              <w:top w:val="single" w:sz="4" w:space="0" w:color="165788" w:themeColor="text1"/>
              <w:left w:val="single" w:sz="4" w:space="0" w:color="165788" w:themeColor="text1"/>
              <w:bottom w:val="single" w:sz="4" w:space="0" w:color="165788" w:themeColor="text1"/>
              <w:right w:val="single" w:sz="4" w:space="0" w:color="165788" w:themeColor="text1"/>
            </w:tcBorders>
            <w:shd w:val="clear" w:color="auto" w:fill="C2DFF5" w:themeFill="text1" w:themeFillTint="33"/>
          </w:tcPr>
          <w:p w14:paraId="2BF4358A" w14:textId="77777777" w:rsidR="002B54C0" w:rsidRPr="00BD3A90" w:rsidRDefault="002B54C0" w:rsidP="002B54C0">
            <w:pPr>
              <w:pStyle w:val="PPtext"/>
              <w:spacing w:before="0"/>
              <w:jc w:val="center"/>
              <w:rPr>
                <w:sz w:val="18"/>
                <w:szCs w:val="18"/>
              </w:rPr>
            </w:pPr>
            <w:r>
              <w:rPr>
                <w:sz w:val="18"/>
                <w:szCs w:val="18"/>
              </w:rPr>
              <w:t>Expenses</w:t>
            </w:r>
          </w:p>
        </w:tc>
        <w:tc>
          <w:tcPr>
            <w:tcW w:w="792" w:type="dxa"/>
            <w:tcBorders>
              <w:top w:val="single" w:sz="4" w:space="0" w:color="165788" w:themeColor="text1"/>
              <w:left w:val="single" w:sz="4" w:space="0" w:color="165788" w:themeColor="text1"/>
              <w:bottom w:val="single" w:sz="4" w:space="0" w:color="165788" w:themeColor="text1"/>
              <w:right w:val="single" w:sz="4" w:space="0" w:color="165788" w:themeColor="text1"/>
            </w:tcBorders>
            <w:shd w:val="clear" w:color="auto" w:fill="C2DFF5" w:themeFill="text1" w:themeFillTint="33"/>
          </w:tcPr>
          <w:p w14:paraId="52B6C4A0" w14:textId="77777777" w:rsidR="002B54C0" w:rsidRPr="00BD3A90" w:rsidRDefault="002B54C0" w:rsidP="002B54C0">
            <w:pPr>
              <w:pStyle w:val="PPtext"/>
              <w:spacing w:before="0"/>
              <w:jc w:val="center"/>
              <w:rPr>
                <w:sz w:val="18"/>
                <w:szCs w:val="18"/>
              </w:rPr>
            </w:pPr>
            <w:r>
              <w:rPr>
                <w:sz w:val="18"/>
                <w:szCs w:val="18"/>
              </w:rPr>
              <w:t>Net Result</w:t>
            </w:r>
          </w:p>
        </w:tc>
        <w:tc>
          <w:tcPr>
            <w:tcW w:w="720" w:type="dxa"/>
            <w:tcBorders>
              <w:top w:val="single" w:sz="4" w:space="0" w:color="165788" w:themeColor="text1"/>
              <w:left w:val="single" w:sz="4" w:space="0" w:color="165788" w:themeColor="text1"/>
              <w:bottom w:val="single" w:sz="4" w:space="0" w:color="165788" w:themeColor="text1"/>
              <w:right w:val="single" w:sz="4" w:space="0" w:color="165788" w:themeColor="text1"/>
            </w:tcBorders>
            <w:shd w:val="clear" w:color="auto" w:fill="C2DFF5" w:themeFill="text1" w:themeFillTint="33"/>
            <w:vAlign w:val="center"/>
          </w:tcPr>
          <w:p w14:paraId="48A211A1" w14:textId="77777777" w:rsidR="002B54C0" w:rsidRPr="00BD3A90" w:rsidRDefault="002B54C0" w:rsidP="002B54C0">
            <w:pPr>
              <w:pStyle w:val="PPtext"/>
              <w:spacing w:before="0"/>
              <w:jc w:val="center"/>
              <w:rPr>
                <w:sz w:val="18"/>
                <w:szCs w:val="18"/>
              </w:rPr>
            </w:pPr>
            <w:r w:rsidRPr="00BD3A90">
              <w:rPr>
                <w:sz w:val="18"/>
                <w:szCs w:val="18"/>
              </w:rPr>
              <w:t>Revenue</w:t>
            </w:r>
          </w:p>
        </w:tc>
        <w:tc>
          <w:tcPr>
            <w:tcW w:w="720" w:type="dxa"/>
            <w:tcBorders>
              <w:top w:val="single" w:sz="4" w:space="0" w:color="165788" w:themeColor="text1"/>
              <w:left w:val="single" w:sz="4" w:space="0" w:color="165788" w:themeColor="text1"/>
              <w:bottom w:val="single" w:sz="4" w:space="0" w:color="165788" w:themeColor="text1"/>
            </w:tcBorders>
            <w:shd w:val="clear" w:color="auto" w:fill="C2DFF5" w:themeFill="text1" w:themeFillTint="33"/>
            <w:vAlign w:val="center"/>
          </w:tcPr>
          <w:p w14:paraId="0C8B2FB9" w14:textId="77777777" w:rsidR="002B54C0" w:rsidRPr="00BD3A90" w:rsidRDefault="002B54C0" w:rsidP="002B54C0">
            <w:pPr>
              <w:pStyle w:val="PPtext"/>
              <w:spacing w:before="0"/>
              <w:jc w:val="center"/>
              <w:rPr>
                <w:sz w:val="18"/>
                <w:szCs w:val="18"/>
              </w:rPr>
            </w:pPr>
            <w:r>
              <w:rPr>
                <w:sz w:val="18"/>
                <w:szCs w:val="18"/>
              </w:rPr>
              <w:t>Expenses</w:t>
            </w:r>
          </w:p>
        </w:tc>
        <w:tc>
          <w:tcPr>
            <w:tcW w:w="792" w:type="dxa"/>
            <w:tcBorders>
              <w:top w:val="single" w:sz="4" w:space="0" w:color="165788" w:themeColor="text1"/>
              <w:left w:val="single" w:sz="4" w:space="0" w:color="165788" w:themeColor="text1"/>
              <w:bottom w:val="single" w:sz="4" w:space="0" w:color="165788" w:themeColor="text1"/>
            </w:tcBorders>
            <w:shd w:val="clear" w:color="auto" w:fill="C2DFF5" w:themeFill="text1" w:themeFillTint="33"/>
            <w:vAlign w:val="center"/>
          </w:tcPr>
          <w:p w14:paraId="52B284B4" w14:textId="77777777" w:rsidR="002B54C0" w:rsidRDefault="002B54C0" w:rsidP="002B54C0">
            <w:pPr>
              <w:pStyle w:val="PPtext"/>
              <w:spacing w:before="0"/>
              <w:jc w:val="center"/>
              <w:rPr>
                <w:sz w:val="18"/>
                <w:szCs w:val="18"/>
              </w:rPr>
            </w:pPr>
            <w:r>
              <w:rPr>
                <w:sz w:val="18"/>
                <w:szCs w:val="18"/>
              </w:rPr>
              <w:t>Net Result</w:t>
            </w:r>
          </w:p>
        </w:tc>
      </w:tr>
      <w:tr w:rsidR="002B54C0" w:rsidRPr="00BD3A90" w14:paraId="246218FB" w14:textId="77777777" w:rsidTr="002B54C0">
        <w:tc>
          <w:tcPr>
            <w:tcW w:w="432" w:type="dxa"/>
            <w:tcBorders>
              <w:top w:val="single" w:sz="4" w:space="0" w:color="165788" w:themeColor="text1"/>
              <w:bottom w:val="nil"/>
              <w:right w:val="single" w:sz="4" w:space="0" w:color="165788" w:themeColor="text1"/>
            </w:tcBorders>
          </w:tcPr>
          <w:p w14:paraId="173DB6F4" w14:textId="77777777" w:rsidR="002B54C0" w:rsidRPr="00BD3A90" w:rsidRDefault="002B54C0" w:rsidP="002B54C0">
            <w:pPr>
              <w:pStyle w:val="PPtext"/>
              <w:spacing w:before="0"/>
              <w:jc w:val="center"/>
              <w:rPr>
                <w:sz w:val="18"/>
                <w:szCs w:val="18"/>
              </w:rPr>
            </w:pPr>
            <w:r w:rsidRPr="00BD3A90">
              <w:rPr>
                <w:sz w:val="18"/>
                <w:szCs w:val="18"/>
              </w:rPr>
              <w:t>2021</w:t>
            </w:r>
          </w:p>
        </w:tc>
        <w:tc>
          <w:tcPr>
            <w:tcW w:w="720" w:type="dxa"/>
            <w:tcBorders>
              <w:top w:val="single" w:sz="4" w:space="0" w:color="165788" w:themeColor="text1"/>
              <w:bottom w:val="nil"/>
              <w:right w:val="single" w:sz="4" w:space="0" w:color="165788" w:themeColor="text1"/>
            </w:tcBorders>
          </w:tcPr>
          <w:p w14:paraId="35A06F9B" w14:textId="77777777" w:rsidR="002B54C0" w:rsidRDefault="002B54C0" w:rsidP="002B54C0">
            <w:pPr>
              <w:pStyle w:val="PPtext"/>
              <w:spacing w:before="0"/>
              <w:jc w:val="center"/>
              <w:rPr>
                <w:sz w:val="18"/>
                <w:szCs w:val="18"/>
              </w:rPr>
            </w:pPr>
            <w:r>
              <w:rPr>
                <w:sz w:val="18"/>
                <w:szCs w:val="18"/>
              </w:rPr>
              <w:t>$</w:t>
            </w:r>
            <w:r w:rsidRPr="00BD3A90">
              <w:rPr>
                <w:sz w:val="18"/>
                <w:szCs w:val="18"/>
              </w:rPr>
              <w:t>7</w:t>
            </w:r>
            <w:r>
              <w:rPr>
                <w:sz w:val="18"/>
                <w:szCs w:val="18"/>
              </w:rPr>
              <w:t>0.9</w:t>
            </w:r>
          </w:p>
        </w:tc>
        <w:tc>
          <w:tcPr>
            <w:tcW w:w="720" w:type="dxa"/>
            <w:tcBorders>
              <w:top w:val="single" w:sz="4" w:space="0" w:color="165788" w:themeColor="text1"/>
              <w:left w:val="single" w:sz="4" w:space="0" w:color="165788" w:themeColor="text1"/>
              <w:bottom w:val="nil"/>
              <w:right w:val="single" w:sz="4" w:space="0" w:color="165788" w:themeColor="text1"/>
            </w:tcBorders>
          </w:tcPr>
          <w:p w14:paraId="66E6534A" w14:textId="77777777" w:rsidR="002B54C0" w:rsidRPr="00BD3A90" w:rsidRDefault="002B54C0" w:rsidP="002B54C0">
            <w:pPr>
              <w:pStyle w:val="PPtext"/>
              <w:spacing w:before="0"/>
              <w:jc w:val="center"/>
              <w:rPr>
                <w:sz w:val="18"/>
                <w:szCs w:val="18"/>
              </w:rPr>
            </w:pPr>
            <w:r>
              <w:rPr>
                <w:sz w:val="18"/>
                <w:szCs w:val="18"/>
              </w:rPr>
              <w:t>$76.5</w:t>
            </w:r>
          </w:p>
        </w:tc>
        <w:tc>
          <w:tcPr>
            <w:tcW w:w="792" w:type="dxa"/>
            <w:tcBorders>
              <w:top w:val="single" w:sz="4" w:space="0" w:color="165788" w:themeColor="text1"/>
              <w:left w:val="single" w:sz="4" w:space="0" w:color="165788" w:themeColor="text1"/>
              <w:bottom w:val="nil"/>
              <w:right w:val="single" w:sz="4" w:space="0" w:color="165788" w:themeColor="text1"/>
            </w:tcBorders>
          </w:tcPr>
          <w:p w14:paraId="2D1630C0" w14:textId="77777777" w:rsidR="002B54C0" w:rsidRPr="003C1B98" w:rsidRDefault="002B54C0" w:rsidP="002B54C0">
            <w:pPr>
              <w:pStyle w:val="PPtext"/>
              <w:spacing w:before="0"/>
              <w:ind w:right="144"/>
              <w:jc w:val="right"/>
              <w:rPr>
                <w:color w:val="FF0000"/>
                <w:sz w:val="18"/>
                <w:szCs w:val="18"/>
              </w:rPr>
            </w:pPr>
            <w:r w:rsidRPr="003C1B98">
              <w:rPr>
                <w:color w:val="FF0000"/>
                <w:sz w:val="18"/>
                <w:szCs w:val="18"/>
              </w:rPr>
              <w:t>$-9.</w:t>
            </w:r>
            <w:r>
              <w:rPr>
                <w:color w:val="FF0000"/>
                <w:sz w:val="18"/>
                <w:szCs w:val="18"/>
              </w:rPr>
              <w:t>7</w:t>
            </w:r>
          </w:p>
        </w:tc>
        <w:tc>
          <w:tcPr>
            <w:tcW w:w="720" w:type="dxa"/>
            <w:tcBorders>
              <w:top w:val="single" w:sz="4" w:space="0" w:color="165788" w:themeColor="text1"/>
              <w:left w:val="single" w:sz="4" w:space="0" w:color="165788" w:themeColor="text1"/>
              <w:bottom w:val="nil"/>
              <w:right w:val="single" w:sz="4" w:space="0" w:color="165788" w:themeColor="text1"/>
            </w:tcBorders>
          </w:tcPr>
          <w:p w14:paraId="4758FAAF" w14:textId="77777777" w:rsidR="002B54C0" w:rsidRPr="00BD3A90" w:rsidRDefault="002B54C0" w:rsidP="002B54C0">
            <w:pPr>
              <w:pStyle w:val="PPtext"/>
              <w:spacing w:before="0"/>
              <w:jc w:val="center"/>
              <w:rPr>
                <w:sz w:val="18"/>
                <w:szCs w:val="18"/>
              </w:rPr>
            </w:pPr>
            <w:r>
              <w:rPr>
                <w:sz w:val="18"/>
                <w:szCs w:val="18"/>
              </w:rPr>
              <w:t>$71.1</w:t>
            </w:r>
          </w:p>
        </w:tc>
        <w:tc>
          <w:tcPr>
            <w:tcW w:w="720" w:type="dxa"/>
            <w:tcBorders>
              <w:top w:val="single" w:sz="4" w:space="0" w:color="165788" w:themeColor="text1"/>
              <w:left w:val="single" w:sz="4" w:space="0" w:color="165788" w:themeColor="text1"/>
              <w:bottom w:val="nil"/>
            </w:tcBorders>
          </w:tcPr>
          <w:p w14:paraId="3B95E99C" w14:textId="77777777" w:rsidR="002B54C0" w:rsidRPr="00AC76E7" w:rsidRDefault="002B54C0" w:rsidP="002B54C0">
            <w:pPr>
              <w:pStyle w:val="PPtext"/>
              <w:spacing w:before="0"/>
              <w:jc w:val="center"/>
              <w:rPr>
                <w:sz w:val="18"/>
                <w:szCs w:val="18"/>
              </w:rPr>
            </w:pPr>
            <w:r>
              <w:rPr>
                <w:sz w:val="18"/>
                <w:szCs w:val="18"/>
              </w:rPr>
              <w:t>$76.5</w:t>
            </w:r>
          </w:p>
        </w:tc>
        <w:tc>
          <w:tcPr>
            <w:tcW w:w="792" w:type="dxa"/>
            <w:tcBorders>
              <w:top w:val="single" w:sz="4" w:space="0" w:color="165788" w:themeColor="text1"/>
              <w:left w:val="single" w:sz="4" w:space="0" w:color="165788" w:themeColor="text1"/>
              <w:bottom w:val="nil"/>
            </w:tcBorders>
          </w:tcPr>
          <w:p w14:paraId="012FDDF1" w14:textId="77777777" w:rsidR="002B54C0" w:rsidRPr="003C1B98" w:rsidRDefault="002B54C0" w:rsidP="002B54C0">
            <w:pPr>
              <w:pStyle w:val="PPtext"/>
              <w:spacing w:before="0"/>
              <w:ind w:right="173"/>
              <w:jc w:val="right"/>
              <w:rPr>
                <w:color w:val="FF0000"/>
                <w:sz w:val="18"/>
                <w:szCs w:val="18"/>
              </w:rPr>
            </w:pPr>
            <w:r w:rsidRPr="003C1B98">
              <w:rPr>
                <w:color w:val="FF0000"/>
                <w:sz w:val="18"/>
                <w:szCs w:val="18"/>
              </w:rPr>
              <w:t>$-</w:t>
            </w:r>
            <w:r>
              <w:rPr>
                <w:color w:val="FF0000"/>
                <w:sz w:val="18"/>
                <w:szCs w:val="18"/>
              </w:rPr>
              <w:t>9.4</w:t>
            </w:r>
          </w:p>
        </w:tc>
      </w:tr>
      <w:tr w:rsidR="002B54C0" w:rsidRPr="00BD3A90" w14:paraId="1731D2D2" w14:textId="77777777" w:rsidTr="002B54C0">
        <w:tc>
          <w:tcPr>
            <w:tcW w:w="432" w:type="dxa"/>
            <w:tcBorders>
              <w:top w:val="nil"/>
              <w:bottom w:val="nil"/>
              <w:right w:val="single" w:sz="4" w:space="0" w:color="165788" w:themeColor="text1"/>
            </w:tcBorders>
            <w:shd w:val="clear" w:color="auto" w:fill="F2F2F2" w:themeFill="background1" w:themeFillShade="F2"/>
          </w:tcPr>
          <w:p w14:paraId="62651206" w14:textId="77777777" w:rsidR="002B54C0" w:rsidRPr="00BD3A90" w:rsidRDefault="002B54C0" w:rsidP="002B54C0">
            <w:pPr>
              <w:pStyle w:val="PPtext"/>
              <w:spacing w:before="0"/>
              <w:jc w:val="center"/>
              <w:rPr>
                <w:sz w:val="18"/>
                <w:szCs w:val="18"/>
              </w:rPr>
            </w:pPr>
            <w:r w:rsidRPr="00BD3A90">
              <w:rPr>
                <w:sz w:val="18"/>
                <w:szCs w:val="18"/>
              </w:rPr>
              <w:t>2022</w:t>
            </w:r>
          </w:p>
        </w:tc>
        <w:tc>
          <w:tcPr>
            <w:tcW w:w="720" w:type="dxa"/>
            <w:tcBorders>
              <w:top w:val="nil"/>
              <w:bottom w:val="nil"/>
              <w:right w:val="single" w:sz="4" w:space="0" w:color="165788" w:themeColor="text1"/>
            </w:tcBorders>
            <w:shd w:val="clear" w:color="auto" w:fill="F2F2F2" w:themeFill="background1" w:themeFillShade="F2"/>
          </w:tcPr>
          <w:p w14:paraId="5A716867" w14:textId="77777777" w:rsidR="002B54C0" w:rsidRDefault="002B54C0" w:rsidP="002B54C0">
            <w:pPr>
              <w:pStyle w:val="PPtext"/>
              <w:spacing w:before="0"/>
              <w:jc w:val="center"/>
              <w:rPr>
                <w:sz w:val="18"/>
                <w:szCs w:val="18"/>
              </w:rPr>
            </w:pPr>
            <w:r>
              <w:rPr>
                <w:sz w:val="18"/>
                <w:szCs w:val="18"/>
              </w:rPr>
              <w:t>$68.8</w:t>
            </w:r>
          </w:p>
        </w:tc>
        <w:tc>
          <w:tcPr>
            <w:tcW w:w="720" w:type="dxa"/>
            <w:tcBorders>
              <w:top w:val="nil"/>
              <w:left w:val="single" w:sz="4" w:space="0" w:color="165788" w:themeColor="text1"/>
              <w:bottom w:val="nil"/>
              <w:right w:val="single" w:sz="4" w:space="0" w:color="165788" w:themeColor="text1"/>
            </w:tcBorders>
            <w:shd w:val="clear" w:color="auto" w:fill="F2F2F2" w:themeFill="background1" w:themeFillShade="F2"/>
          </w:tcPr>
          <w:p w14:paraId="4BBF0F15" w14:textId="77777777" w:rsidR="002B54C0" w:rsidRPr="00BD3A90" w:rsidRDefault="002B54C0" w:rsidP="002B54C0">
            <w:pPr>
              <w:pStyle w:val="PPtext"/>
              <w:spacing w:before="0"/>
              <w:jc w:val="center"/>
              <w:rPr>
                <w:sz w:val="18"/>
                <w:szCs w:val="18"/>
              </w:rPr>
            </w:pPr>
            <w:r>
              <w:rPr>
                <w:sz w:val="18"/>
                <w:szCs w:val="18"/>
              </w:rPr>
              <w:t>$76.3</w:t>
            </w:r>
          </w:p>
        </w:tc>
        <w:tc>
          <w:tcPr>
            <w:tcW w:w="792" w:type="dxa"/>
            <w:tcBorders>
              <w:top w:val="nil"/>
              <w:left w:val="single" w:sz="4" w:space="0" w:color="165788" w:themeColor="text1"/>
              <w:bottom w:val="nil"/>
              <w:right w:val="single" w:sz="4" w:space="0" w:color="165788" w:themeColor="text1"/>
            </w:tcBorders>
            <w:shd w:val="clear" w:color="auto" w:fill="F2F2F2" w:themeFill="background1" w:themeFillShade="F2"/>
          </w:tcPr>
          <w:p w14:paraId="7BB28665" w14:textId="77777777" w:rsidR="002B54C0" w:rsidRPr="003C1B98" w:rsidRDefault="002B54C0" w:rsidP="002B54C0">
            <w:pPr>
              <w:pStyle w:val="PPtext"/>
              <w:spacing w:before="0"/>
              <w:ind w:right="144"/>
              <w:jc w:val="right"/>
              <w:rPr>
                <w:color w:val="FF0000"/>
                <w:sz w:val="18"/>
                <w:szCs w:val="18"/>
              </w:rPr>
            </w:pPr>
            <w:r w:rsidRPr="003C1B98">
              <w:rPr>
                <w:color w:val="FF0000"/>
                <w:sz w:val="18"/>
                <w:szCs w:val="18"/>
              </w:rPr>
              <w:t>$-</w:t>
            </w:r>
            <w:r>
              <w:rPr>
                <w:color w:val="FF0000"/>
                <w:sz w:val="18"/>
                <w:szCs w:val="18"/>
              </w:rPr>
              <w:t>11</w:t>
            </w:r>
            <w:r w:rsidRPr="003C1B98">
              <w:rPr>
                <w:color w:val="FF0000"/>
                <w:sz w:val="18"/>
                <w:szCs w:val="18"/>
              </w:rPr>
              <w:t>.</w:t>
            </w:r>
            <w:r>
              <w:rPr>
                <w:color w:val="FF0000"/>
                <w:sz w:val="18"/>
                <w:szCs w:val="18"/>
              </w:rPr>
              <w:t>7</w:t>
            </w:r>
          </w:p>
        </w:tc>
        <w:tc>
          <w:tcPr>
            <w:tcW w:w="720" w:type="dxa"/>
            <w:tcBorders>
              <w:top w:val="nil"/>
              <w:left w:val="single" w:sz="4" w:space="0" w:color="165788" w:themeColor="text1"/>
              <w:bottom w:val="nil"/>
              <w:right w:val="single" w:sz="4" w:space="0" w:color="165788" w:themeColor="text1"/>
            </w:tcBorders>
            <w:shd w:val="clear" w:color="auto" w:fill="F2F2F2" w:themeFill="background1" w:themeFillShade="F2"/>
          </w:tcPr>
          <w:p w14:paraId="0ADAD4DE" w14:textId="77777777" w:rsidR="002B54C0" w:rsidRPr="00BD3A90" w:rsidRDefault="002B54C0" w:rsidP="002B54C0">
            <w:pPr>
              <w:pStyle w:val="PPtext"/>
              <w:spacing w:before="0"/>
              <w:jc w:val="center"/>
              <w:rPr>
                <w:sz w:val="18"/>
                <w:szCs w:val="18"/>
              </w:rPr>
            </w:pPr>
            <w:r>
              <w:rPr>
                <w:sz w:val="18"/>
                <w:szCs w:val="18"/>
              </w:rPr>
              <w:t>$71.3</w:t>
            </w:r>
          </w:p>
        </w:tc>
        <w:tc>
          <w:tcPr>
            <w:tcW w:w="720" w:type="dxa"/>
            <w:tcBorders>
              <w:top w:val="nil"/>
              <w:left w:val="single" w:sz="4" w:space="0" w:color="165788" w:themeColor="text1"/>
              <w:bottom w:val="nil"/>
            </w:tcBorders>
            <w:shd w:val="clear" w:color="auto" w:fill="F2F2F2" w:themeFill="background1" w:themeFillShade="F2"/>
          </w:tcPr>
          <w:p w14:paraId="08250C03" w14:textId="77777777" w:rsidR="002B54C0" w:rsidRPr="00AC76E7" w:rsidRDefault="002B54C0" w:rsidP="002B54C0">
            <w:pPr>
              <w:pStyle w:val="PPtext"/>
              <w:spacing w:before="0"/>
              <w:jc w:val="center"/>
              <w:rPr>
                <w:sz w:val="18"/>
                <w:szCs w:val="18"/>
              </w:rPr>
            </w:pPr>
            <w:r>
              <w:rPr>
                <w:sz w:val="18"/>
                <w:szCs w:val="18"/>
              </w:rPr>
              <w:t>$72.2</w:t>
            </w:r>
          </w:p>
        </w:tc>
        <w:tc>
          <w:tcPr>
            <w:tcW w:w="792" w:type="dxa"/>
            <w:tcBorders>
              <w:top w:val="nil"/>
              <w:left w:val="single" w:sz="4" w:space="0" w:color="165788" w:themeColor="text1"/>
              <w:bottom w:val="nil"/>
            </w:tcBorders>
            <w:shd w:val="clear" w:color="auto" w:fill="F2F2F2" w:themeFill="background1" w:themeFillShade="F2"/>
          </w:tcPr>
          <w:p w14:paraId="104A8DE2" w14:textId="77777777" w:rsidR="002B54C0" w:rsidRPr="003C1B98" w:rsidRDefault="002B54C0" w:rsidP="002B54C0">
            <w:pPr>
              <w:pStyle w:val="PPtext"/>
              <w:spacing w:before="0"/>
              <w:ind w:right="173"/>
              <w:jc w:val="right"/>
              <w:rPr>
                <w:color w:val="FF0000"/>
                <w:sz w:val="18"/>
                <w:szCs w:val="18"/>
              </w:rPr>
            </w:pPr>
            <w:r w:rsidRPr="003C1B98">
              <w:rPr>
                <w:color w:val="FF0000"/>
                <w:sz w:val="18"/>
                <w:szCs w:val="18"/>
              </w:rPr>
              <w:t>$-</w:t>
            </w:r>
            <w:r>
              <w:rPr>
                <w:color w:val="FF0000"/>
                <w:sz w:val="18"/>
                <w:szCs w:val="18"/>
              </w:rPr>
              <w:t>2.0</w:t>
            </w:r>
          </w:p>
        </w:tc>
      </w:tr>
      <w:tr w:rsidR="002B54C0" w:rsidRPr="00BD3A90" w14:paraId="5F7E08C0" w14:textId="77777777" w:rsidTr="002B54C0">
        <w:tc>
          <w:tcPr>
            <w:tcW w:w="432" w:type="dxa"/>
            <w:tcBorders>
              <w:top w:val="nil"/>
              <w:bottom w:val="nil"/>
              <w:right w:val="single" w:sz="4" w:space="0" w:color="165788" w:themeColor="text1"/>
            </w:tcBorders>
            <w:shd w:val="clear" w:color="auto" w:fill="F2F2F2" w:themeFill="background1" w:themeFillShade="F2"/>
          </w:tcPr>
          <w:p w14:paraId="6D719336" w14:textId="77777777" w:rsidR="002B54C0" w:rsidRPr="00BD3A90" w:rsidRDefault="002B54C0" w:rsidP="002B54C0">
            <w:pPr>
              <w:pStyle w:val="PPtext"/>
              <w:spacing w:before="0"/>
              <w:jc w:val="center"/>
              <w:rPr>
                <w:sz w:val="18"/>
                <w:szCs w:val="18"/>
              </w:rPr>
            </w:pPr>
            <w:r w:rsidRPr="00BD3A90">
              <w:rPr>
                <w:sz w:val="18"/>
                <w:szCs w:val="18"/>
              </w:rPr>
              <w:t>2023</w:t>
            </w:r>
          </w:p>
        </w:tc>
        <w:tc>
          <w:tcPr>
            <w:tcW w:w="720" w:type="dxa"/>
            <w:tcBorders>
              <w:top w:val="nil"/>
              <w:bottom w:val="nil"/>
              <w:right w:val="single" w:sz="4" w:space="0" w:color="165788" w:themeColor="text1"/>
            </w:tcBorders>
            <w:shd w:val="clear" w:color="auto" w:fill="F2F2F2" w:themeFill="background1" w:themeFillShade="F2"/>
          </w:tcPr>
          <w:p w14:paraId="39295F0D" w14:textId="77777777" w:rsidR="002B54C0" w:rsidRDefault="002B54C0" w:rsidP="002B54C0">
            <w:pPr>
              <w:pStyle w:val="PPtext"/>
              <w:spacing w:before="0"/>
              <w:jc w:val="center"/>
              <w:rPr>
                <w:sz w:val="18"/>
                <w:szCs w:val="18"/>
              </w:rPr>
            </w:pPr>
            <w:r>
              <w:rPr>
                <w:sz w:val="18"/>
                <w:szCs w:val="18"/>
              </w:rPr>
              <w:t>$69</w:t>
            </w:r>
            <w:r w:rsidRPr="00BD3A90">
              <w:rPr>
                <w:sz w:val="18"/>
                <w:szCs w:val="18"/>
              </w:rPr>
              <w:t>.7</w:t>
            </w:r>
          </w:p>
        </w:tc>
        <w:tc>
          <w:tcPr>
            <w:tcW w:w="720" w:type="dxa"/>
            <w:tcBorders>
              <w:top w:val="nil"/>
              <w:left w:val="single" w:sz="4" w:space="0" w:color="165788" w:themeColor="text1"/>
              <w:bottom w:val="nil"/>
              <w:right w:val="single" w:sz="4" w:space="0" w:color="165788" w:themeColor="text1"/>
            </w:tcBorders>
            <w:shd w:val="clear" w:color="auto" w:fill="F2F2F2" w:themeFill="background1" w:themeFillShade="F2"/>
          </w:tcPr>
          <w:p w14:paraId="033046E0" w14:textId="77777777" w:rsidR="002B54C0" w:rsidRPr="00BD3A90" w:rsidRDefault="002B54C0" w:rsidP="002B54C0">
            <w:pPr>
              <w:pStyle w:val="PPtext"/>
              <w:spacing w:before="0"/>
              <w:jc w:val="center"/>
              <w:rPr>
                <w:sz w:val="18"/>
                <w:szCs w:val="18"/>
              </w:rPr>
            </w:pPr>
            <w:r>
              <w:rPr>
                <w:sz w:val="18"/>
                <w:szCs w:val="18"/>
              </w:rPr>
              <w:t>$77.8</w:t>
            </w:r>
          </w:p>
        </w:tc>
        <w:tc>
          <w:tcPr>
            <w:tcW w:w="792" w:type="dxa"/>
            <w:tcBorders>
              <w:top w:val="nil"/>
              <w:left w:val="single" w:sz="4" w:space="0" w:color="165788" w:themeColor="text1"/>
              <w:bottom w:val="nil"/>
              <w:right w:val="single" w:sz="4" w:space="0" w:color="165788" w:themeColor="text1"/>
            </w:tcBorders>
            <w:shd w:val="clear" w:color="auto" w:fill="F2F2F2" w:themeFill="background1" w:themeFillShade="F2"/>
          </w:tcPr>
          <w:p w14:paraId="6E1BA7FC" w14:textId="77777777" w:rsidR="002B54C0" w:rsidRPr="001C1796" w:rsidRDefault="002B54C0" w:rsidP="002B54C0">
            <w:pPr>
              <w:pStyle w:val="PPtext"/>
              <w:spacing w:before="0"/>
              <w:ind w:right="144"/>
              <w:jc w:val="right"/>
              <w:rPr>
                <w:color w:val="FF0000"/>
                <w:sz w:val="18"/>
                <w:szCs w:val="18"/>
              </w:rPr>
            </w:pPr>
            <w:r w:rsidRPr="001C1796">
              <w:rPr>
                <w:color w:val="FF0000"/>
                <w:sz w:val="18"/>
                <w:szCs w:val="18"/>
              </w:rPr>
              <w:t>$-12.3</w:t>
            </w:r>
          </w:p>
        </w:tc>
        <w:tc>
          <w:tcPr>
            <w:tcW w:w="720" w:type="dxa"/>
            <w:tcBorders>
              <w:top w:val="nil"/>
              <w:left w:val="single" w:sz="4" w:space="0" w:color="165788" w:themeColor="text1"/>
              <w:bottom w:val="nil"/>
              <w:right w:val="single" w:sz="4" w:space="0" w:color="165788" w:themeColor="text1"/>
            </w:tcBorders>
            <w:shd w:val="clear" w:color="auto" w:fill="F2F2F2" w:themeFill="background1" w:themeFillShade="F2"/>
          </w:tcPr>
          <w:p w14:paraId="3608599F" w14:textId="77777777" w:rsidR="002B54C0" w:rsidRPr="00BD3A90" w:rsidRDefault="002B54C0" w:rsidP="002B54C0">
            <w:pPr>
              <w:pStyle w:val="PPtext"/>
              <w:spacing w:before="0"/>
              <w:jc w:val="center"/>
              <w:rPr>
                <w:sz w:val="18"/>
                <w:szCs w:val="18"/>
              </w:rPr>
            </w:pPr>
            <w:r>
              <w:rPr>
                <w:sz w:val="18"/>
                <w:szCs w:val="18"/>
              </w:rPr>
              <w:t>$73.7</w:t>
            </w:r>
          </w:p>
        </w:tc>
        <w:tc>
          <w:tcPr>
            <w:tcW w:w="720" w:type="dxa"/>
            <w:tcBorders>
              <w:top w:val="nil"/>
              <w:left w:val="single" w:sz="4" w:space="0" w:color="165788" w:themeColor="text1"/>
              <w:bottom w:val="nil"/>
            </w:tcBorders>
            <w:shd w:val="clear" w:color="auto" w:fill="F2F2F2" w:themeFill="background1" w:themeFillShade="F2"/>
          </w:tcPr>
          <w:p w14:paraId="796308E4" w14:textId="77777777" w:rsidR="002B54C0" w:rsidRPr="00AC76E7" w:rsidRDefault="002B54C0" w:rsidP="002B54C0">
            <w:pPr>
              <w:pStyle w:val="PPtext"/>
              <w:spacing w:before="0"/>
              <w:jc w:val="center"/>
              <w:rPr>
                <w:sz w:val="18"/>
                <w:szCs w:val="18"/>
              </w:rPr>
            </w:pPr>
            <w:r>
              <w:rPr>
                <w:sz w:val="18"/>
                <w:szCs w:val="18"/>
              </w:rPr>
              <w:t>$72.4</w:t>
            </w:r>
          </w:p>
        </w:tc>
        <w:tc>
          <w:tcPr>
            <w:tcW w:w="792" w:type="dxa"/>
            <w:tcBorders>
              <w:top w:val="nil"/>
              <w:left w:val="single" w:sz="4" w:space="0" w:color="165788" w:themeColor="text1"/>
              <w:bottom w:val="nil"/>
            </w:tcBorders>
            <w:shd w:val="clear" w:color="auto" w:fill="F2F2F2" w:themeFill="background1" w:themeFillShade="F2"/>
          </w:tcPr>
          <w:p w14:paraId="675914C0" w14:textId="77777777" w:rsidR="002B54C0" w:rsidRPr="003F271B" w:rsidRDefault="002B54C0" w:rsidP="002B54C0">
            <w:pPr>
              <w:pStyle w:val="PPtext"/>
              <w:spacing w:before="0"/>
              <w:ind w:right="173"/>
              <w:jc w:val="right"/>
              <w:rPr>
                <w:sz w:val="18"/>
                <w:szCs w:val="18"/>
              </w:rPr>
            </w:pPr>
            <w:r w:rsidRPr="003F271B">
              <w:rPr>
                <w:sz w:val="18"/>
                <w:szCs w:val="18"/>
              </w:rPr>
              <w:t>$0.0</w:t>
            </w:r>
          </w:p>
        </w:tc>
      </w:tr>
      <w:tr w:rsidR="002B54C0" w:rsidRPr="00BD3A90" w14:paraId="014EE25A" w14:textId="77777777" w:rsidTr="002B54C0">
        <w:tc>
          <w:tcPr>
            <w:tcW w:w="432" w:type="dxa"/>
            <w:tcBorders>
              <w:top w:val="nil"/>
              <w:right w:val="single" w:sz="4" w:space="0" w:color="165788" w:themeColor="text1"/>
            </w:tcBorders>
          </w:tcPr>
          <w:p w14:paraId="0122A963" w14:textId="77777777" w:rsidR="002B54C0" w:rsidRPr="00BD3A90" w:rsidRDefault="002B54C0" w:rsidP="002B54C0">
            <w:pPr>
              <w:pStyle w:val="PPtext"/>
              <w:spacing w:before="0"/>
              <w:jc w:val="center"/>
              <w:rPr>
                <w:sz w:val="18"/>
                <w:szCs w:val="18"/>
              </w:rPr>
            </w:pPr>
            <w:r w:rsidRPr="00BD3A90">
              <w:rPr>
                <w:sz w:val="18"/>
                <w:szCs w:val="18"/>
              </w:rPr>
              <w:t>2024</w:t>
            </w:r>
          </w:p>
        </w:tc>
        <w:tc>
          <w:tcPr>
            <w:tcW w:w="720" w:type="dxa"/>
            <w:tcBorders>
              <w:top w:val="nil"/>
              <w:right w:val="single" w:sz="4" w:space="0" w:color="165788" w:themeColor="text1"/>
            </w:tcBorders>
          </w:tcPr>
          <w:p w14:paraId="29C8E334" w14:textId="77777777" w:rsidR="002B54C0" w:rsidRDefault="002B54C0" w:rsidP="002B54C0">
            <w:pPr>
              <w:pStyle w:val="PPtext"/>
              <w:spacing w:before="0"/>
              <w:jc w:val="center"/>
              <w:rPr>
                <w:sz w:val="18"/>
                <w:szCs w:val="18"/>
              </w:rPr>
            </w:pPr>
            <w:r>
              <w:rPr>
                <w:sz w:val="18"/>
                <w:szCs w:val="18"/>
              </w:rPr>
              <w:t>$</w:t>
            </w:r>
            <w:r w:rsidRPr="00BD3A90">
              <w:rPr>
                <w:sz w:val="18"/>
                <w:szCs w:val="18"/>
              </w:rPr>
              <w:t>7</w:t>
            </w:r>
            <w:r>
              <w:rPr>
                <w:sz w:val="18"/>
                <w:szCs w:val="18"/>
              </w:rPr>
              <w:t>0.4</w:t>
            </w:r>
          </w:p>
        </w:tc>
        <w:tc>
          <w:tcPr>
            <w:tcW w:w="720" w:type="dxa"/>
            <w:tcBorders>
              <w:top w:val="nil"/>
              <w:left w:val="single" w:sz="4" w:space="0" w:color="165788" w:themeColor="text1"/>
              <w:bottom w:val="single" w:sz="12" w:space="0" w:color="165788" w:themeColor="text1"/>
              <w:right w:val="single" w:sz="4" w:space="0" w:color="165788" w:themeColor="text1"/>
            </w:tcBorders>
          </w:tcPr>
          <w:p w14:paraId="1AC10A20" w14:textId="77777777" w:rsidR="002B54C0" w:rsidRPr="00BD3A90" w:rsidRDefault="002B54C0" w:rsidP="002B54C0">
            <w:pPr>
              <w:pStyle w:val="PPtext"/>
              <w:spacing w:before="0"/>
              <w:jc w:val="center"/>
              <w:rPr>
                <w:sz w:val="18"/>
                <w:szCs w:val="18"/>
              </w:rPr>
            </w:pPr>
            <w:r>
              <w:rPr>
                <w:sz w:val="18"/>
                <w:szCs w:val="18"/>
              </w:rPr>
              <w:t>$79.2</w:t>
            </w:r>
          </w:p>
        </w:tc>
        <w:tc>
          <w:tcPr>
            <w:tcW w:w="792" w:type="dxa"/>
            <w:tcBorders>
              <w:top w:val="nil"/>
              <w:left w:val="single" w:sz="4" w:space="0" w:color="165788" w:themeColor="text1"/>
              <w:bottom w:val="single" w:sz="12" w:space="0" w:color="165788" w:themeColor="text1"/>
              <w:right w:val="single" w:sz="4" w:space="0" w:color="165788" w:themeColor="text1"/>
            </w:tcBorders>
          </w:tcPr>
          <w:p w14:paraId="7AAE307F" w14:textId="77777777" w:rsidR="002B54C0" w:rsidRPr="001C1796" w:rsidRDefault="002B54C0" w:rsidP="002B54C0">
            <w:pPr>
              <w:pStyle w:val="PPtext"/>
              <w:spacing w:before="0"/>
              <w:ind w:right="144"/>
              <w:jc w:val="right"/>
              <w:rPr>
                <w:color w:val="FF0000"/>
                <w:sz w:val="18"/>
                <w:szCs w:val="18"/>
              </w:rPr>
            </w:pPr>
            <w:r w:rsidRPr="001C1796">
              <w:rPr>
                <w:color w:val="FF0000"/>
                <w:sz w:val="18"/>
                <w:szCs w:val="18"/>
              </w:rPr>
              <w:t>$-13.1</w:t>
            </w:r>
          </w:p>
        </w:tc>
        <w:tc>
          <w:tcPr>
            <w:tcW w:w="720" w:type="dxa"/>
            <w:tcBorders>
              <w:top w:val="nil"/>
              <w:left w:val="single" w:sz="4" w:space="0" w:color="165788" w:themeColor="text1"/>
              <w:bottom w:val="single" w:sz="12" w:space="0" w:color="165788" w:themeColor="text1"/>
              <w:right w:val="single" w:sz="4" w:space="0" w:color="165788" w:themeColor="text1"/>
            </w:tcBorders>
          </w:tcPr>
          <w:p w14:paraId="0787698B" w14:textId="77777777" w:rsidR="002B54C0" w:rsidRPr="00FA5DAA" w:rsidRDefault="002B54C0" w:rsidP="002B54C0">
            <w:pPr>
              <w:pStyle w:val="PPtext"/>
              <w:spacing w:before="0"/>
              <w:jc w:val="center"/>
              <w:rPr>
                <w:sz w:val="18"/>
                <w:szCs w:val="18"/>
              </w:rPr>
            </w:pPr>
            <w:r w:rsidRPr="00FA5DAA">
              <w:rPr>
                <w:sz w:val="18"/>
                <w:szCs w:val="18"/>
              </w:rPr>
              <w:t>$</w:t>
            </w:r>
            <w:r>
              <w:rPr>
                <w:sz w:val="18"/>
                <w:szCs w:val="18"/>
              </w:rPr>
              <w:t>75.5</w:t>
            </w:r>
          </w:p>
        </w:tc>
        <w:tc>
          <w:tcPr>
            <w:tcW w:w="720" w:type="dxa"/>
            <w:tcBorders>
              <w:top w:val="nil"/>
              <w:left w:val="single" w:sz="4" w:space="0" w:color="165788" w:themeColor="text1"/>
            </w:tcBorders>
          </w:tcPr>
          <w:p w14:paraId="70E8BCDB" w14:textId="77777777" w:rsidR="002B54C0" w:rsidRPr="00FA5DAA" w:rsidRDefault="002B54C0" w:rsidP="002B54C0">
            <w:pPr>
              <w:pStyle w:val="PPtext"/>
              <w:spacing w:before="0"/>
              <w:jc w:val="center"/>
              <w:rPr>
                <w:sz w:val="18"/>
                <w:szCs w:val="18"/>
              </w:rPr>
            </w:pPr>
            <w:r>
              <w:rPr>
                <w:sz w:val="18"/>
                <w:szCs w:val="18"/>
              </w:rPr>
              <w:t>$72.6</w:t>
            </w:r>
          </w:p>
        </w:tc>
        <w:tc>
          <w:tcPr>
            <w:tcW w:w="792" w:type="dxa"/>
            <w:tcBorders>
              <w:top w:val="nil"/>
              <w:left w:val="single" w:sz="4" w:space="0" w:color="165788" w:themeColor="text1"/>
            </w:tcBorders>
          </w:tcPr>
          <w:p w14:paraId="2BA202B7" w14:textId="77777777" w:rsidR="002B54C0" w:rsidRPr="003F271B" w:rsidRDefault="002B54C0" w:rsidP="002B54C0">
            <w:pPr>
              <w:pStyle w:val="PPtext"/>
              <w:spacing w:before="0"/>
              <w:ind w:right="173"/>
              <w:jc w:val="right"/>
              <w:rPr>
                <w:sz w:val="18"/>
                <w:szCs w:val="18"/>
              </w:rPr>
            </w:pPr>
            <w:r w:rsidRPr="003F271B">
              <w:rPr>
                <w:sz w:val="18"/>
                <w:szCs w:val="18"/>
              </w:rPr>
              <w:t>$1.7</w:t>
            </w:r>
          </w:p>
        </w:tc>
      </w:tr>
    </w:tbl>
    <w:tbl>
      <w:tblPr>
        <w:tblStyle w:val="TableGrid"/>
        <w:tblpPr w:rightFromText="72" w:vertAnchor="text" w:horzAnchor="margin" w:tblpY="1490"/>
        <w:tblOverlap w:val="never"/>
        <w:tblW w:w="0" w:type="auto"/>
        <w:tblBorders>
          <w:top w:val="single" w:sz="12" w:space="0" w:color="165788" w:themeColor="text1"/>
          <w:left w:val="single" w:sz="12" w:space="0" w:color="165788" w:themeColor="text1"/>
          <w:bottom w:val="single" w:sz="12" w:space="0" w:color="165788" w:themeColor="text1"/>
          <w:right w:val="single" w:sz="12" w:space="0" w:color="165788" w:themeColor="text1"/>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432"/>
        <w:gridCol w:w="720"/>
        <w:gridCol w:w="720"/>
        <w:gridCol w:w="792"/>
        <w:gridCol w:w="720"/>
        <w:gridCol w:w="720"/>
        <w:gridCol w:w="792"/>
      </w:tblGrid>
      <w:tr w:rsidR="002B54C0" w:rsidRPr="00BD3A90" w14:paraId="19EE278D" w14:textId="77777777" w:rsidTr="002B54C0">
        <w:tc>
          <w:tcPr>
            <w:tcW w:w="432" w:type="dxa"/>
            <w:vMerge w:val="restart"/>
            <w:tcBorders>
              <w:top w:val="single" w:sz="12" w:space="0" w:color="165788" w:themeColor="text1"/>
              <w:right w:val="single" w:sz="4" w:space="0" w:color="165788" w:themeColor="text1"/>
            </w:tcBorders>
            <w:shd w:val="clear" w:color="auto" w:fill="C2DFF5" w:themeFill="text1" w:themeFillTint="33"/>
            <w:vAlign w:val="center"/>
          </w:tcPr>
          <w:p w14:paraId="71963564" w14:textId="77777777" w:rsidR="002B54C0" w:rsidRPr="00BD3A90" w:rsidRDefault="002B54C0" w:rsidP="002B54C0">
            <w:pPr>
              <w:pStyle w:val="PPtext"/>
              <w:spacing w:before="0"/>
              <w:jc w:val="center"/>
              <w:rPr>
                <w:sz w:val="18"/>
                <w:szCs w:val="18"/>
              </w:rPr>
            </w:pPr>
            <w:bookmarkStart w:id="1" w:name="_Hlk153554919"/>
            <w:bookmarkEnd w:id="0"/>
            <w:r w:rsidRPr="00BD3A90">
              <w:rPr>
                <w:sz w:val="18"/>
                <w:szCs w:val="18"/>
              </w:rPr>
              <w:t>FY</w:t>
            </w:r>
          </w:p>
        </w:tc>
        <w:tc>
          <w:tcPr>
            <w:tcW w:w="2232" w:type="dxa"/>
            <w:gridSpan w:val="3"/>
            <w:tcBorders>
              <w:top w:val="single" w:sz="12" w:space="0" w:color="165788" w:themeColor="text1"/>
              <w:bottom w:val="single" w:sz="4" w:space="0" w:color="165788" w:themeColor="text1"/>
              <w:right w:val="single" w:sz="4" w:space="0" w:color="165788" w:themeColor="text1"/>
            </w:tcBorders>
            <w:shd w:val="clear" w:color="auto" w:fill="F5E9CC" w:themeFill="background2" w:themeFillTint="33"/>
          </w:tcPr>
          <w:p w14:paraId="2A8B4267" w14:textId="77777777" w:rsidR="002B54C0" w:rsidRPr="00BD3A90" w:rsidRDefault="002B54C0" w:rsidP="002B54C0">
            <w:pPr>
              <w:pStyle w:val="PPtext"/>
              <w:spacing w:before="0"/>
              <w:jc w:val="center"/>
              <w:rPr>
                <w:sz w:val="18"/>
                <w:szCs w:val="18"/>
              </w:rPr>
            </w:pPr>
            <w:r w:rsidRPr="004A3800">
              <w:rPr>
                <w:b/>
                <w:bCs/>
                <w:sz w:val="18"/>
                <w:szCs w:val="18"/>
              </w:rPr>
              <w:t>With Plan</w:t>
            </w:r>
            <w:r>
              <w:rPr>
                <w:sz w:val="18"/>
                <w:szCs w:val="18"/>
              </w:rPr>
              <w:t xml:space="preserve"> </w:t>
            </w:r>
            <w:r w:rsidRPr="00BD3A90">
              <w:rPr>
                <w:sz w:val="18"/>
                <w:szCs w:val="18"/>
              </w:rPr>
              <w:t>Project</w:t>
            </w:r>
            <w:r>
              <w:rPr>
                <w:sz w:val="18"/>
                <w:szCs w:val="18"/>
              </w:rPr>
              <w:t>ion (Billions)</w:t>
            </w:r>
          </w:p>
        </w:tc>
        <w:tc>
          <w:tcPr>
            <w:tcW w:w="2232" w:type="dxa"/>
            <w:gridSpan w:val="3"/>
            <w:tcBorders>
              <w:top w:val="single" w:sz="12" w:space="0" w:color="165788" w:themeColor="text1"/>
            </w:tcBorders>
            <w:shd w:val="clear" w:color="auto" w:fill="F5E9CC" w:themeFill="background2" w:themeFillTint="33"/>
          </w:tcPr>
          <w:p w14:paraId="3B7F33AC" w14:textId="77777777" w:rsidR="002B54C0" w:rsidRPr="00BD3A90" w:rsidRDefault="002B54C0" w:rsidP="002B54C0">
            <w:pPr>
              <w:pStyle w:val="PPtext"/>
              <w:spacing w:before="0"/>
              <w:jc w:val="center"/>
              <w:rPr>
                <w:sz w:val="18"/>
                <w:szCs w:val="18"/>
              </w:rPr>
            </w:pPr>
            <w:r w:rsidRPr="004A3800">
              <w:rPr>
                <w:b/>
                <w:bCs/>
                <w:sz w:val="18"/>
                <w:szCs w:val="18"/>
              </w:rPr>
              <w:t>IFP</w:t>
            </w:r>
            <w:r>
              <w:rPr>
                <w:sz w:val="18"/>
                <w:szCs w:val="18"/>
              </w:rPr>
              <w:t xml:space="preserve"> Projection (Billions)</w:t>
            </w:r>
          </w:p>
        </w:tc>
      </w:tr>
      <w:tr w:rsidR="002B54C0" w:rsidRPr="00BD3A90" w14:paraId="2FF13905" w14:textId="77777777" w:rsidTr="002B54C0">
        <w:tc>
          <w:tcPr>
            <w:tcW w:w="432" w:type="dxa"/>
            <w:vMerge/>
            <w:tcBorders>
              <w:bottom w:val="single" w:sz="4" w:space="0" w:color="165788" w:themeColor="text1"/>
              <w:right w:val="single" w:sz="4" w:space="0" w:color="165788" w:themeColor="text1"/>
            </w:tcBorders>
            <w:shd w:val="clear" w:color="auto" w:fill="C2DFF5" w:themeFill="text1" w:themeFillTint="33"/>
          </w:tcPr>
          <w:p w14:paraId="60700C6F" w14:textId="77777777" w:rsidR="002B54C0" w:rsidRPr="00BD3A90" w:rsidRDefault="002B54C0" w:rsidP="002B54C0">
            <w:pPr>
              <w:pStyle w:val="PPtext"/>
              <w:spacing w:before="0"/>
              <w:jc w:val="center"/>
              <w:rPr>
                <w:sz w:val="18"/>
                <w:szCs w:val="18"/>
              </w:rPr>
            </w:pPr>
          </w:p>
        </w:tc>
        <w:tc>
          <w:tcPr>
            <w:tcW w:w="720" w:type="dxa"/>
            <w:tcBorders>
              <w:top w:val="single" w:sz="4" w:space="0" w:color="165788" w:themeColor="text1"/>
              <w:bottom w:val="single" w:sz="4" w:space="0" w:color="165788" w:themeColor="text1"/>
              <w:right w:val="single" w:sz="4" w:space="0" w:color="165788" w:themeColor="text1"/>
            </w:tcBorders>
            <w:shd w:val="clear" w:color="auto" w:fill="C2DFF5" w:themeFill="text1" w:themeFillTint="33"/>
          </w:tcPr>
          <w:p w14:paraId="4599F1B7" w14:textId="77777777" w:rsidR="002B54C0" w:rsidRPr="00BD3A90" w:rsidRDefault="002B54C0" w:rsidP="002B54C0">
            <w:pPr>
              <w:pStyle w:val="PPtext"/>
              <w:spacing w:before="0"/>
              <w:jc w:val="center"/>
              <w:rPr>
                <w:sz w:val="18"/>
                <w:szCs w:val="18"/>
              </w:rPr>
            </w:pPr>
            <w:r w:rsidRPr="00BD3A90">
              <w:rPr>
                <w:sz w:val="18"/>
                <w:szCs w:val="18"/>
              </w:rPr>
              <w:t>Revenue</w:t>
            </w:r>
          </w:p>
        </w:tc>
        <w:tc>
          <w:tcPr>
            <w:tcW w:w="720" w:type="dxa"/>
            <w:tcBorders>
              <w:top w:val="single" w:sz="4" w:space="0" w:color="165788" w:themeColor="text1"/>
              <w:left w:val="single" w:sz="4" w:space="0" w:color="165788" w:themeColor="text1"/>
              <w:bottom w:val="single" w:sz="4" w:space="0" w:color="165788" w:themeColor="text1"/>
              <w:right w:val="single" w:sz="4" w:space="0" w:color="165788" w:themeColor="text1"/>
            </w:tcBorders>
            <w:shd w:val="clear" w:color="auto" w:fill="C2DFF5" w:themeFill="text1" w:themeFillTint="33"/>
          </w:tcPr>
          <w:p w14:paraId="3DDAC8D4" w14:textId="77777777" w:rsidR="002B54C0" w:rsidRPr="00BD3A90" w:rsidRDefault="002B54C0" w:rsidP="002B54C0">
            <w:pPr>
              <w:pStyle w:val="PPtext"/>
              <w:spacing w:before="0"/>
              <w:jc w:val="center"/>
              <w:rPr>
                <w:sz w:val="18"/>
                <w:szCs w:val="18"/>
              </w:rPr>
            </w:pPr>
            <w:r>
              <w:rPr>
                <w:sz w:val="18"/>
                <w:szCs w:val="18"/>
              </w:rPr>
              <w:t>Expenses</w:t>
            </w:r>
          </w:p>
        </w:tc>
        <w:tc>
          <w:tcPr>
            <w:tcW w:w="792" w:type="dxa"/>
            <w:tcBorders>
              <w:top w:val="single" w:sz="4" w:space="0" w:color="165788" w:themeColor="text1"/>
              <w:left w:val="single" w:sz="4" w:space="0" w:color="165788" w:themeColor="text1"/>
              <w:bottom w:val="single" w:sz="4" w:space="0" w:color="165788" w:themeColor="text1"/>
              <w:right w:val="single" w:sz="4" w:space="0" w:color="165788" w:themeColor="text1"/>
            </w:tcBorders>
            <w:shd w:val="clear" w:color="auto" w:fill="C2DFF5" w:themeFill="text1" w:themeFillTint="33"/>
          </w:tcPr>
          <w:p w14:paraId="0D575492" w14:textId="77777777" w:rsidR="002B54C0" w:rsidRPr="00BD3A90" w:rsidRDefault="002B54C0" w:rsidP="002B54C0">
            <w:pPr>
              <w:pStyle w:val="PPtext"/>
              <w:spacing w:before="0"/>
              <w:jc w:val="center"/>
              <w:rPr>
                <w:sz w:val="18"/>
                <w:szCs w:val="18"/>
              </w:rPr>
            </w:pPr>
            <w:r>
              <w:rPr>
                <w:sz w:val="18"/>
                <w:szCs w:val="18"/>
              </w:rPr>
              <w:t>Net Result</w:t>
            </w:r>
          </w:p>
        </w:tc>
        <w:tc>
          <w:tcPr>
            <w:tcW w:w="720" w:type="dxa"/>
            <w:tcBorders>
              <w:top w:val="single" w:sz="4" w:space="0" w:color="165788" w:themeColor="text1"/>
              <w:left w:val="single" w:sz="4" w:space="0" w:color="165788" w:themeColor="text1"/>
              <w:bottom w:val="single" w:sz="4" w:space="0" w:color="165788" w:themeColor="text1"/>
              <w:right w:val="single" w:sz="4" w:space="0" w:color="165788" w:themeColor="text1"/>
            </w:tcBorders>
            <w:shd w:val="clear" w:color="auto" w:fill="C2DFF5" w:themeFill="text1" w:themeFillTint="33"/>
            <w:vAlign w:val="center"/>
          </w:tcPr>
          <w:p w14:paraId="6A541990" w14:textId="77777777" w:rsidR="002B54C0" w:rsidRPr="00BD3A90" w:rsidRDefault="002B54C0" w:rsidP="002B54C0">
            <w:pPr>
              <w:pStyle w:val="PPtext"/>
              <w:spacing w:before="0"/>
              <w:jc w:val="center"/>
              <w:rPr>
                <w:sz w:val="18"/>
                <w:szCs w:val="18"/>
              </w:rPr>
            </w:pPr>
            <w:r w:rsidRPr="00BD3A90">
              <w:rPr>
                <w:sz w:val="18"/>
                <w:szCs w:val="18"/>
              </w:rPr>
              <w:t>Revenue</w:t>
            </w:r>
          </w:p>
        </w:tc>
        <w:tc>
          <w:tcPr>
            <w:tcW w:w="720" w:type="dxa"/>
            <w:tcBorders>
              <w:top w:val="single" w:sz="4" w:space="0" w:color="165788" w:themeColor="text1"/>
              <w:left w:val="single" w:sz="4" w:space="0" w:color="165788" w:themeColor="text1"/>
              <w:bottom w:val="single" w:sz="4" w:space="0" w:color="165788" w:themeColor="text1"/>
            </w:tcBorders>
            <w:shd w:val="clear" w:color="auto" w:fill="C2DFF5" w:themeFill="text1" w:themeFillTint="33"/>
            <w:vAlign w:val="center"/>
          </w:tcPr>
          <w:p w14:paraId="37658FD1" w14:textId="77777777" w:rsidR="002B54C0" w:rsidRPr="00BD3A90" w:rsidRDefault="002B54C0" w:rsidP="002B54C0">
            <w:pPr>
              <w:pStyle w:val="PPtext"/>
              <w:spacing w:before="0"/>
              <w:jc w:val="center"/>
              <w:rPr>
                <w:sz w:val="18"/>
                <w:szCs w:val="18"/>
              </w:rPr>
            </w:pPr>
            <w:r>
              <w:rPr>
                <w:sz w:val="18"/>
                <w:szCs w:val="18"/>
              </w:rPr>
              <w:t>Expenses</w:t>
            </w:r>
          </w:p>
        </w:tc>
        <w:tc>
          <w:tcPr>
            <w:tcW w:w="792" w:type="dxa"/>
            <w:tcBorders>
              <w:top w:val="single" w:sz="4" w:space="0" w:color="165788" w:themeColor="text1"/>
              <w:left w:val="single" w:sz="4" w:space="0" w:color="165788" w:themeColor="text1"/>
              <w:bottom w:val="single" w:sz="4" w:space="0" w:color="165788" w:themeColor="text1"/>
            </w:tcBorders>
            <w:shd w:val="clear" w:color="auto" w:fill="C2DFF5" w:themeFill="text1" w:themeFillTint="33"/>
            <w:vAlign w:val="center"/>
          </w:tcPr>
          <w:p w14:paraId="4E4B0AFC" w14:textId="77777777" w:rsidR="002B54C0" w:rsidRDefault="002B54C0" w:rsidP="002B54C0">
            <w:pPr>
              <w:pStyle w:val="PPtext"/>
              <w:spacing w:before="0"/>
              <w:jc w:val="center"/>
              <w:rPr>
                <w:sz w:val="18"/>
                <w:szCs w:val="18"/>
              </w:rPr>
            </w:pPr>
            <w:r>
              <w:rPr>
                <w:sz w:val="18"/>
                <w:szCs w:val="18"/>
              </w:rPr>
              <w:t>Net Result</w:t>
            </w:r>
          </w:p>
        </w:tc>
      </w:tr>
      <w:tr w:rsidR="002B54C0" w:rsidRPr="00BD3A90" w14:paraId="11D1DCE0" w14:textId="77777777" w:rsidTr="002B54C0">
        <w:tc>
          <w:tcPr>
            <w:tcW w:w="432" w:type="dxa"/>
            <w:tcBorders>
              <w:top w:val="single" w:sz="4" w:space="0" w:color="165788" w:themeColor="text1"/>
              <w:bottom w:val="nil"/>
              <w:right w:val="single" w:sz="4" w:space="0" w:color="165788" w:themeColor="text1"/>
            </w:tcBorders>
          </w:tcPr>
          <w:p w14:paraId="542535A1" w14:textId="77777777" w:rsidR="002B54C0" w:rsidRPr="00BD3A90" w:rsidRDefault="002B54C0" w:rsidP="002B54C0">
            <w:pPr>
              <w:pStyle w:val="PPtext"/>
              <w:spacing w:before="0"/>
              <w:jc w:val="center"/>
              <w:rPr>
                <w:sz w:val="18"/>
                <w:szCs w:val="18"/>
              </w:rPr>
            </w:pPr>
            <w:r w:rsidRPr="00BD3A90">
              <w:rPr>
                <w:sz w:val="18"/>
                <w:szCs w:val="18"/>
              </w:rPr>
              <w:t>2021</w:t>
            </w:r>
          </w:p>
        </w:tc>
        <w:tc>
          <w:tcPr>
            <w:tcW w:w="720" w:type="dxa"/>
            <w:tcBorders>
              <w:top w:val="single" w:sz="4" w:space="0" w:color="165788" w:themeColor="text1"/>
              <w:bottom w:val="nil"/>
              <w:right w:val="single" w:sz="4" w:space="0" w:color="165788" w:themeColor="text1"/>
            </w:tcBorders>
          </w:tcPr>
          <w:p w14:paraId="32873FE6" w14:textId="77777777" w:rsidR="002B54C0" w:rsidRDefault="002B54C0" w:rsidP="002B54C0">
            <w:pPr>
              <w:pStyle w:val="PPtext"/>
              <w:spacing w:before="0"/>
              <w:jc w:val="center"/>
              <w:rPr>
                <w:sz w:val="18"/>
                <w:szCs w:val="18"/>
              </w:rPr>
            </w:pPr>
            <w:r>
              <w:rPr>
                <w:sz w:val="18"/>
                <w:szCs w:val="18"/>
              </w:rPr>
              <w:t>$</w:t>
            </w:r>
            <w:r w:rsidRPr="00BD3A90">
              <w:rPr>
                <w:sz w:val="18"/>
                <w:szCs w:val="18"/>
              </w:rPr>
              <w:t>71.1</w:t>
            </w:r>
          </w:p>
        </w:tc>
        <w:tc>
          <w:tcPr>
            <w:tcW w:w="720" w:type="dxa"/>
            <w:tcBorders>
              <w:top w:val="single" w:sz="4" w:space="0" w:color="165788" w:themeColor="text1"/>
              <w:left w:val="single" w:sz="4" w:space="0" w:color="165788" w:themeColor="text1"/>
              <w:bottom w:val="nil"/>
              <w:right w:val="single" w:sz="4" w:space="0" w:color="165788" w:themeColor="text1"/>
            </w:tcBorders>
          </w:tcPr>
          <w:p w14:paraId="09AB2F4D" w14:textId="77777777" w:rsidR="002B54C0" w:rsidRPr="00BD3A90" w:rsidRDefault="002B54C0" w:rsidP="002B54C0">
            <w:pPr>
              <w:pStyle w:val="PPtext"/>
              <w:spacing w:before="0"/>
              <w:jc w:val="center"/>
              <w:rPr>
                <w:sz w:val="18"/>
                <w:szCs w:val="18"/>
              </w:rPr>
            </w:pPr>
            <w:r>
              <w:rPr>
                <w:sz w:val="18"/>
                <w:szCs w:val="18"/>
              </w:rPr>
              <w:t>$76.5</w:t>
            </w:r>
          </w:p>
        </w:tc>
        <w:tc>
          <w:tcPr>
            <w:tcW w:w="792" w:type="dxa"/>
            <w:tcBorders>
              <w:top w:val="single" w:sz="4" w:space="0" w:color="165788" w:themeColor="text1"/>
              <w:left w:val="single" w:sz="4" w:space="0" w:color="165788" w:themeColor="text1"/>
              <w:bottom w:val="nil"/>
              <w:right w:val="single" w:sz="4" w:space="0" w:color="165788" w:themeColor="text1"/>
            </w:tcBorders>
          </w:tcPr>
          <w:p w14:paraId="07426129" w14:textId="77777777" w:rsidR="002B54C0" w:rsidRPr="003C1B98" w:rsidRDefault="002B54C0" w:rsidP="002B54C0">
            <w:pPr>
              <w:pStyle w:val="PPtext"/>
              <w:spacing w:before="0"/>
              <w:ind w:right="173"/>
              <w:jc w:val="right"/>
              <w:rPr>
                <w:color w:val="FF0000"/>
                <w:sz w:val="18"/>
                <w:szCs w:val="18"/>
              </w:rPr>
            </w:pPr>
            <w:r w:rsidRPr="003C1B98">
              <w:rPr>
                <w:color w:val="FF0000"/>
                <w:sz w:val="18"/>
                <w:szCs w:val="18"/>
              </w:rPr>
              <w:t>$-9.4</w:t>
            </w:r>
          </w:p>
        </w:tc>
        <w:tc>
          <w:tcPr>
            <w:tcW w:w="720" w:type="dxa"/>
            <w:tcBorders>
              <w:top w:val="single" w:sz="4" w:space="0" w:color="165788" w:themeColor="text1"/>
              <w:left w:val="single" w:sz="4" w:space="0" w:color="165788" w:themeColor="text1"/>
              <w:bottom w:val="nil"/>
              <w:right w:val="single" w:sz="4" w:space="0" w:color="165788" w:themeColor="text1"/>
            </w:tcBorders>
          </w:tcPr>
          <w:p w14:paraId="1896209D" w14:textId="77777777" w:rsidR="002B54C0" w:rsidRPr="00BD3A90" w:rsidRDefault="002B54C0" w:rsidP="002B54C0">
            <w:pPr>
              <w:pStyle w:val="PPtext"/>
              <w:spacing w:before="0"/>
              <w:jc w:val="center"/>
              <w:rPr>
                <w:sz w:val="18"/>
                <w:szCs w:val="18"/>
              </w:rPr>
            </w:pPr>
            <w:r>
              <w:rPr>
                <w:sz w:val="18"/>
                <w:szCs w:val="18"/>
              </w:rPr>
              <w:t>$70.9</w:t>
            </w:r>
          </w:p>
        </w:tc>
        <w:tc>
          <w:tcPr>
            <w:tcW w:w="720" w:type="dxa"/>
            <w:tcBorders>
              <w:top w:val="single" w:sz="4" w:space="0" w:color="165788" w:themeColor="text1"/>
              <w:left w:val="single" w:sz="4" w:space="0" w:color="165788" w:themeColor="text1"/>
              <w:bottom w:val="nil"/>
            </w:tcBorders>
          </w:tcPr>
          <w:p w14:paraId="526DDBC9" w14:textId="77777777" w:rsidR="002B54C0" w:rsidRPr="00AC76E7" w:rsidRDefault="002B54C0" w:rsidP="002B54C0">
            <w:pPr>
              <w:pStyle w:val="PPtext"/>
              <w:spacing w:before="0"/>
              <w:jc w:val="center"/>
              <w:rPr>
                <w:sz w:val="18"/>
                <w:szCs w:val="18"/>
              </w:rPr>
            </w:pPr>
            <w:r>
              <w:rPr>
                <w:sz w:val="18"/>
                <w:szCs w:val="18"/>
              </w:rPr>
              <w:t>$80.6</w:t>
            </w:r>
          </w:p>
        </w:tc>
        <w:tc>
          <w:tcPr>
            <w:tcW w:w="792" w:type="dxa"/>
            <w:tcBorders>
              <w:top w:val="single" w:sz="4" w:space="0" w:color="165788" w:themeColor="text1"/>
              <w:left w:val="single" w:sz="4" w:space="0" w:color="165788" w:themeColor="text1"/>
              <w:bottom w:val="nil"/>
            </w:tcBorders>
          </w:tcPr>
          <w:p w14:paraId="5B958310" w14:textId="77777777" w:rsidR="002B54C0" w:rsidRPr="003C1B98" w:rsidRDefault="002B54C0" w:rsidP="002B54C0">
            <w:pPr>
              <w:pStyle w:val="PPtext"/>
              <w:spacing w:before="0"/>
              <w:jc w:val="center"/>
              <w:rPr>
                <w:color w:val="FF0000"/>
                <w:sz w:val="18"/>
                <w:szCs w:val="18"/>
              </w:rPr>
            </w:pPr>
            <w:r w:rsidRPr="003C1B98">
              <w:rPr>
                <w:color w:val="FF0000"/>
                <w:sz w:val="18"/>
                <w:szCs w:val="18"/>
              </w:rPr>
              <w:t>$-</w:t>
            </w:r>
            <w:r>
              <w:rPr>
                <w:color w:val="FF0000"/>
                <w:sz w:val="18"/>
                <w:szCs w:val="18"/>
              </w:rPr>
              <w:t>9.7</w:t>
            </w:r>
          </w:p>
        </w:tc>
      </w:tr>
      <w:tr w:rsidR="002B54C0" w:rsidRPr="00BD3A90" w14:paraId="75E5CD13" w14:textId="77777777" w:rsidTr="002B54C0">
        <w:tc>
          <w:tcPr>
            <w:tcW w:w="432" w:type="dxa"/>
            <w:tcBorders>
              <w:top w:val="nil"/>
              <w:bottom w:val="nil"/>
              <w:right w:val="single" w:sz="4" w:space="0" w:color="165788" w:themeColor="text1"/>
            </w:tcBorders>
            <w:shd w:val="clear" w:color="auto" w:fill="F2F2F2" w:themeFill="background1" w:themeFillShade="F2"/>
          </w:tcPr>
          <w:p w14:paraId="3B132B9B" w14:textId="77777777" w:rsidR="002B54C0" w:rsidRPr="00BD3A90" w:rsidRDefault="002B54C0" w:rsidP="002B54C0">
            <w:pPr>
              <w:pStyle w:val="PPtext"/>
              <w:spacing w:before="0"/>
              <w:jc w:val="center"/>
              <w:rPr>
                <w:sz w:val="18"/>
                <w:szCs w:val="18"/>
              </w:rPr>
            </w:pPr>
            <w:r w:rsidRPr="00BD3A90">
              <w:rPr>
                <w:sz w:val="18"/>
                <w:szCs w:val="18"/>
              </w:rPr>
              <w:t>2022</w:t>
            </w:r>
          </w:p>
        </w:tc>
        <w:tc>
          <w:tcPr>
            <w:tcW w:w="720" w:type="dxa"/>
            <w:tcBorders>
              <w:top w:val="nil"/>
              <w:bottom w:val="nil"/>
              <w:right w:val="single" w:sz="4" w:space="0" w:color="165788" w:themeColor="text1"/>
            </w:tcBorders>
            <w:shd w:val="clear" w:color="auto" w:fill="F2F2F2" w:themeFill="background1" w:themeFillShade="F2"/>
          </w:tcPr>
          <w:p w14:paraId="697CB5EB" w14:textId="77777777" w:rsidR="002B54C0" w:rsidRDefault="002B54C0" w:rsidP="002B54C0">
            <w:pPr>
              <w:pStyle w:val="PPtext"/>
              <w:spacing w:before="0"/>
              <w:jc w:val="center"/>
              <w:rPr>
                <w:sz w:val="18"/>
                <w:szCs w:val="18"/>
              </w:rPr>
            </w:pPr>
            <w:r>
              <w:rPr>
                <w:sz w:val="18"/>
                <w:szCs w:val="18"/>
              </w:rPr>
              <w:t>$</w:t>
            </w:r>
            <w:r w:rsidRPr="00BD3A90">
              <w:rPr>
                <w:sz w:val="18"/>
                <w:szCs w:val="18"/>
              </w:rPr>
              <w:t>71.3</w:t>
            </w:r>
          </w:p>
        </w:tc>
        <w:tc>
          <w:tcPr>
            <w:tcW w:w="720" w:type="dxa"/>
            <w:tcBorders>
              <w:top w:val="nil"/>
              <w:left w:val="single" w:sz="4" w:space="0" w:color="165788" w:themeColor="text1"/>
              <w:bottom w:val="nil"/>
              <w:right w:val="single" w:sz="4" w:space="0" w:color="165788" w:themeColor="text1"/>
            </w:tcBorders>
            <w:shd w:val="clear" w:color="auto" w:fill="F2F2F2" w:themeFill="background1" w:themeFillShade="F2"/>
          </w:tcPr>
          <w:p w14:paraId="705BE5B0" w14:textId="77777777" w:rsidR="002B54C0" w:rsidRPr="00BD3A90" w:rsidRDefault="002B54C0" w:rsidP="002B54C0">
            <w:pPr>
              <w:pStyle w:val="PPtext"/>
              <w:spacing w:before="0"/>
              <w:jc w:val="center"/>
              <w:rPr>
                <w:sz w:val="18"/>
                <w:szCs w:val="18"/>
              </w:rPr>
            </w:pPr>
            <w:r>
              <w:rPr>
                <w:sz w:val="18"/>
                <w:szCs w:val="18"/>
              </w:rPr>
              <w:t>$72.2</w:t>
            </w:r>
          </w:p>
        </w:tc>
        <w:tc>
          <w:tcPr>
            <w:tcW w:w="792" w:type="dxa"/>
            <w:tcBorders>
              <w:top w:val="nil"/>
              <w:left w:val="single" w:sz="4" w:space="0" w:color="165788" w:themeColor="text1"/>
              <w:bottom w:val="nil"/>
              <w:right w:val="single" w:sz="4" w:space="0" w:color="165788" w:themeColor="text1"/>
            </w:tcBorders>
            <w:shd w:val="clear" w:color="auto" w:fill="F2F2F2" w:themeFill="background1" w:themeFillShade="F2"/>
          </w:tcPr>
          <w:p w14:paraId="108791AB" w14:textId="77777777" w:rsidR="002B54C0" w:rsidRPr="003C1B98" w:rsidRDefault="002B54C0" w:rsidP="002B54C0">
            <w:pPr>
              <w:pStyle w:val="PPtext"/>
              <w:spacing w:before="0"/>
              <w:ind w:right="173"/>
              <w:jc w:val="right"/>
              <w:rPr>
                <w:color w:val="FF0000"/>
                <w:sz w:val="18"/>
                <w:szCs w:val="18"/>
              </w:rPr>
            </w:pPr>
            <w:r w:rsidRPr="003C1B98">
              <w:rPr>
                <w:color w:val="FF0000"/>
                <w:sz w:val="18"/>
                <w:szCs w:val="18"/>
              </w:rPr>
              <w:t>$-2.2</w:t>
            </w:r>
          </w:p>
        </w:tc>
        <w:tc>
          <w:tcPr>
            <w:tcW w:w="720" w:type="dxa"/>
            <w:tcBorders>
              <w:top w:val="nil"/>
              <w:left w:val="single" w:sz="4" w:space="0" w:color="165788" w:themeColor="text1"/>
              <w:bottom w:val="nil"/>
              <w:right w:val="single" w:sz="4" w:space="0" w:color="165788" w:themeColor="text1"/>
            </w:tcBorders>
            <w:shd w:val="clear" w:color="auto" w:fill="F2F2F2" w:themeFill="background1" w:themeFillShade="F2"/>
          </w:tcPr>
          <w:p w14:paraId="3BEC02FF" w14:textId="77777777" w:rsidR="002B54C0" w:rsidRPr="00BD3A90" w:rsidRDefault="002B54C0" w:rsidP="002B54C0">
            <w:pPr>
              <w:pStyle w:val="PPtext"/>
              <w:spacing w:before="0"/>
              <w:jc w:val="center"/>
              <w:rPr>
                <w:sz w:val="18"/>
                <w:szCs w:val="18"/>
              </w:rPr>
            </w:pPr>
            <w:r>
              <w:rPr>
                <w:sz w:val="18"/>
                <w:szCs w:val="18"/>
              </w:rPr>
              <w:t>$77.5</w:t>
            </w:r>
          </w:p>
        </w:tc>
        <w:tc>
          <w:tcPr>
            <w:tcW w:w="720" w:type="dxa"/>
            <w:tcBorders>
              <w:top w:val="nil"/>
              <w:left w:val="single" w:sz="4" w:space="0" w:color="165788" w:themeColor="text1"/>
              <w:bottom w:val="nil"/>
            </w:tcBorders>
            <w:shd w:val="clear" w:color="auto" w:fill="F2F2F2" w:themeFill="background1" w:themeFillShade="F2"/>
          </w:tcPr>
          <w:p w14:paraId="683BBB1D" w14:textId="77777777" w:rsidR="002B54C0" w:rsidRPr="00AC76E7" w:rsidRDefault="002B54C0" w:rsidP="002B54C0">
            <w:pPr>
              <w:pStyle w:val="PPtext"/>
              <w:spacing w:before="0"/>
              <w:jc w:val="center"/>
              <w:rPr>
                <w:sz w:val="18"/>
                <w:szCs w:val="18"/>
              </w:rPr>
            </w:pPr>
            <w:r>
              <w:rPr>
                <w:sz w:val="18"/>
                <w:szCs w:val="18"/>
              </w:rPr>
              <w:t>$85.9</w:t>
            </w:r>
          </w:p>
        </w:tc>
        <w:tc>
          <w:tcPr>
            <w:tcW w:w="792" w:type="dxa"/>
            <w:tcBorders>
              <w:top w:val="nil"/>
              <w:left w:val="single" w:sz="4" w:space="0" w:color="165788" w:themeColor="text1"/>
              <w:bottom w:val="nil"/>
            </w:tcBorders>
            <w:shd w:val="clear" w:color="auto" w:fill="F2F2F2" w:themeFill="background1" w:themeFillShade="F2"/>
          </w:tcPr>
          <w:p w14:paraId="56863681" w14:textId="77777777" w:rsidR="002B54C0" w:rsidRPr="003C1B98" w:rsidRDefault="002B54C0" w:rsidP="002B54C0">
            <w:pPr>
              <w:pStyle w:val="PPtext"/>
              <w:spacing w:before="0"/>
              <w:jc w:val="center"/>
              <w:rPr>
                <w:color w:val="FF0000"/>
                <w:sz w:val="18"/>
                <w:szCs w:val="18"/>
              </w:rPr>
            </w:pPr>
            <w:r w:rsidRPr="003C1B98">
              <w:rPr>
                <w:color w:val="FF0000"/>
                <w:sz w:val="18"/>
                <w:szCs w:val="18"/>
              </w:rPr>
              <w:t>$-</w:t>
            </w:r>
            <w:r>
              <w:rPr>
                <w:color w:val="FF0000"/>
                <w:sz w:val="18"/>
                <w:szCs w:val="18"/>
              </w:rPr>
              <w:t>8.4</w:t>
            </w:r>
          </w:p>
        </w:tc>
      </w:tr>
      <w:tr w:rsidR="002B54C0" w:rsidRPr="00BD3A90" w14:paraId="71034D82" w14:textId="77777777" w:rsidTr="002B54C0">
        <w:tc>
          <w:tcPr>
            <w:tcW w:w="432" w:type="dxa"/>
            <w:tcBorders>
              <w:top w:val="nil"/>
              <w:bottom w:val="nil"/>
              <w:right w:val="single" w:sz="4" w:space="0" w:color="165788" w:themeColor="text1"/>
            </w:tcBorders>
            <w:shd w:val="clear" w:color="auto" w:fill="F2F2F2" w:themeFill="background1" w:themeFillShade="F2"/>
          </w:tcPr>
          <w:p w14:paraId="0BF9466B" w14:textId="77777777" w:rsidR="002B54C0" w:rsidRPr="00BD3A90" w:rsidRDefault="002B54C0" w:rsidP="002B54C0">
            <w:pPr>
              <w:pStyle w:val="PPtext"/>
              <w:spacing w:before="0"/>
              <w:jc w:val="center"/>
              <w:rPr>
                <w:sz w:val="18"/>
                <w:szCs w:val="18"/>
              </w:rPr>
            </w:pPr>
            <w:r w:rsidRPr="00BD3A90">
              <w:rPr>
                <w:sz w:val="18"/>
                <w:szCs w:val="18"/>
              </w:rPr>
              <w:t>2023</w:t>
            </w:r>
          </w:p>
        </w:tc>
        <w:tc>
          <w:tcPr>
            <w:tcW w:w="720" w:type="dxa"/>
            <w:tcBorders>
              <w:top w:val="nil"/>
              <w:bottom w:val="nil"/>
              <w:right w:val="single" w:sz="4" w:space="0" w:color="165788" w:themeColor="text1"/>
            </w:tcBorders>
            <w:shd w:val="clear" w:color="auto" w:fill="F2F2F2" w:themeFill="background1" w:themeFillShade="F2"/>
          </w:tcPr>
          <w:p w14:paraId="750F3BBA" w14:textId="77777777" w:rsidR="002B54C0" w:rsidRDefault="002B54C0" w:rsidP="002B54C0">
            <w:pPr>
              <w:pStyle w:val="PPtext"/>
              <w:spacing w:before="0"/>
              <w:jc w:val="center"/>
              <w:rPr>
                <w:sz w:val="18"/>
                <w:szCs w:val="18"/>
              </w:rPr>
            </w:pPr>
            <w:r>
              <w:rPr>
                <w:sz w:val="18"/>
                <w:szCs w:val="18"/>
              </w:rPr>
              <w:t>$</w:t>
            </w:r>
            <w:r w:rsidRPr="00BD3A90">
              <w:rPr>
                <w:sz w:val="18"/>
                <w:szCs w:val="18"/>
              </w:rPr>
              <w:t>73.7</w:t>
            </w:r>
          </w:p>
        </w:tc>
        <w:tc>
          <w:tcPr>
            <w:tcW w:w="720" w:type="dxa"/>
            <w:tcBorders>
              <w:top w:val="nil"/>
              <w:left w:val="single" w:sz="4" w:space="0" w:color="165788" w:themeColor="text1"/>
              <w:bottom w:val="nil"/>
              <w:right w:val="single" w:sz="4" w:space="0" w:color="165788" w:themeColor="text1"/>
            </w:tcBorders>
            <w:shd w:val="clear" w:color="auto" w:fill="F2F2F2" w:themeFill="background1" w:themeFillShade="F2"/>
          </w:tcPr>
          <w:p w14:paraId="64734C00" w14:textId="77777777" w:rsidR="002B54C0" w:rsidRPr="00BD3A90" w:rsidRDefault="002B54C0" w:rsidP="002B54C0">
            <w:pPr>
              <w:pStyle w:val="PPtext"/>
              <w:spacing w:before="0"/>
              <w:jc w:val="center"/>
              <w:rPr>
                <w:sz w:val="18"/>
                <w:szCs w:val="18"/>
              </w:rPr>
            </w:pPr>
            <w:r>
              <w:rPr>
                <w:sz w:val="18"/>
                <w:szCs w:val="18"/>
              </w:rPr>
              <w:t>$72.4</w:t>
            </w:r>
          </w:p>
        </w:tc>
        <w:tc>
          <w:tcPr>
            <w:tcW w:w="792" w:type="dxa"/>
            <w:tcBorders>
              <w:top w:val="nil"/>
              <w:left w:val="single" w:sz="4" w:space="0" w:color="165788" w:themeColor="text1"/>
              <w:bottom w:val="nil"/>
              <w:right w:val="single" w:sz="4" w:space="0" w:color="165788" w:themeColor="text1"/>
            </w:tcBorders>
            <w:shd w:val="clear" w:color="auto" w:fill="F2F2F2" w:themeFill="background1" w:themeFillShade="F2"/>
          </w:tcPr>
          <w:p w14:paraId="3637788A" w14:textId="77777777" w:rsidR="002B54C0" w:rsidRPr="00BD3A90" w:rsidRDefault="002B54C0" w:rsidP="002B54C0">
            <w:pPr>
              <w:pStyle w:val="PPtext"/>
              <w:spacing w:before="0"/>
              <w:ind w:right="173"/>
              <w:jc w:val="right"/>
              <w:rPr>
                <w:sz w:val="18"/>
                <w:szCs w:val="18"/>
              </w:rPr>
            </w:pPr>
            <w:r>
              <w:rPr>
                <w:sz w:val="18"/>
                <w:szCs w:val="18"/>
              </w:rPr>
              <w:t>$0.0</w:t>
            </w:r>
          </w:p>
        </w:tc>
        <w:tc>
          <w:tcPr>
            <w:tcW w:w="720" w:type="dxa"/>
            <w:tcBorders>
              <w:top w:val="nil"/>
              <w:left w:val="single" w:sz="4" w:space="0" w:color="165788" w:themeColor="text1"/>
              <w:bottom w:val="nil"/>
              <w:right w:val="single" w:sz="4" w:space="0" w:color="165788" w:themeColor="text1"/>
            </w:tcBorders>
            <w:shd w:val="clear" w:color="auto" w:fill="F2F2F2" w:themeFill="background1" w:themeFillShade="F2"/>
          </w:tcPr>
          <w:p w14:paraId="09180620" w14:textId="77777777" w:rsidR="002B54C0" w:rsidRPr="00BD3A90" w:rsidRDefault="002B54C0" w:rsidP="002B54C0">
            <w:pPr>
              <w:pStyle w:val="PPtext"/>
              <w:spacing w:before="0"/>
              <w:jc w:val="center"/>
              <w:rPr>
                <w:sz w:val="18"/>
                <w:szCs w:val="18"/>
              </w:rPr>
            </w:pPr>
            <w:r>
              <w:rPr>
                <w:sz w:val="18"/>
                <w:szCs w:val="18"/>
              </w:rPr>
              <w:t>$81.2</w:t>
            </w:r>
          </w:p>
        </w:tc>
        <w:tc>
          <w:tcPr>
            <w:tcW w:w="720" w:type="dxa"/>
            <w:tcBorders>
              <w:top w:val="nil"/>
              <w:left w:val="single" w:sz="4" w:space="0" w:color="165788" w:themeColor="text1"/>
              <w:bottom w:val="nil"/>
            </w:tcBorders>
            <w:shd w:val="clear" w:color="auto" w:fill="F2F2F2" w:themeFill="background1" w:themeFillShade="F2"/>
          </w:tcPr>
          <w:p w14:paraId="79AFB1BE" w14:textId="77777777" w:rsidR="002B54C0" w:rsidRPr="00AC76E7" w:rsidRDefault="002B54C0" w:rsidP="002B54C0">
            <w:pPr>
              <w:pStyle w:val="PPtext"/>
              <w:spacing w:before="0"/>
              <w:jc w:val="center"/>
              <w:rPr>
                <w:sz w:val="18"/>
                <w:szCs w:val="18"/>
              </w:rPr>
            </w:pPr>
            <w:r>
              <w:rPr>
                <w:sz w:val="18"/>
                <w:szCs w:val="18"/>
              </w:rPr>
              <w:t>$85.7</w:t>
            </w:r>
          </w:p>
        </w:tc>
        <w:tc>
          <w:tcPr>
            <w:tcW w:w="792" w:type="dxa"/>
            <w:tcBorders>
              <w:top w:val="nil"/>
              <w:left w:val="single" w:sz="4" w:space="0" w:color="165788" w:themeColor="text1"/>
              <w:bottom w:val="nil"/>
            </w:tcBorders>
            <w:shd w:val="clear" w:color="auto" w:fill="F2F2F2" w:themeFill="background1" w:themeFillShade="F2"/>
          </w:tcPr>
          <w:p w14:paraId="6442C819" w14:textId="77777777" w:rsidR="002B54C0" w:rsidRPr="003C1B98" w:rsidRDefault="002B54C0" w:rsidP="002B54C0">
            <w:pPr>
              <w:pStyle w:val="PPtext"/>
              <w:spacing w:before="0"/>
              <w:jc w:val="center"/>
              <w:rPr>
                <w:color w:val="FF0000"/>
                <w:sz w:val="18"/>
                <w:szCs w:val="18"/>
              </w:rPr>
            </w:pPr>
            <w:r w:rsidRPr="003C1B98">
              <w:rPr>
                <w:color w:val="FF0000"/>
                <w:sz w:val="18"/>
                <w:szCs w:val="18"/>
              </w:rPr>
              <w:t>$-</w:t>
            </w:r>
            <w:r>
              <w:rPr>
                <w:color w:val="FF0000"/>
                <w:sz w:val="18"/>
                <w:szCs w:val="18"/>
              </w:rPr>
              <w:t>4</w:t>
            </w:r>
            <w:r w:rsidRPr="003C1B98">
              <w:rPr>
                <w:color w:val="FF0000"/>
                <w:sz w:val="18"/>
                <w:szCs w:val="18"/>
              </w:rPr>
              <w:t>.5</w:t>
            </w:r>
          </w:p>
        </w:tc>
      </w:tr>
      <w:tr w:rsidR="002B54C0" w:rsidRPr="00BD3A90" w14:paraId="590CE722" w14:textId="77777777" w:rsidTr="002B54C0">
        <w:tc>
          <w:tcPr>
            <w:tcW w:w="432" w:type="dxa"/>
            <w:tcBorders>
              <w:top w:val="nil"/>
              <w:right w:val="single" w:sz="4" w:space="0" w:color="165788" w:themeColor="text1"/>
            </w:tcBorders>
          </w:tcPr>
          <w:p w14:paraId="26C159AE" w14:textId="77777777" w:rsidR="002B54C0" w:rsidRPr="00BD3A90" w:rsidRDefault="002B54C0" w:rsidP="002B54C0">
            <w:pPr>
              <w:pStyle w:val="PPtext"/>
              <w:spacing w:before="0"/>
              <w:jc w:val="center"/>
              <w:rPr>
                <w:sz w:val="18"/>
                <w:szCs w:val="18"/>
              </w:rPr>
            </w:pPr>
            <w:r w:rsidRPr="00BD3A90">
              <w:rPr>
                <w:sz w:val="18"/>
                <w:szCs w:val="18"/>
              </w:rPr>
              <w:t>2024</w:t>
            </w:r>
          </w:p>
        </w:tc>
        <w:tc>
          <w:tcPr>
            <w:tcW w:w="720" w:type="dxa"/>
            <w:tcBorders>
              <w:top w:val="nil"/>
              <w:right w:val="single" w:sz="4" w:space="0" w:color="165788" w:themeColor="text1"/>
            </w:tcBorders>
          </w:tcPr>
          <w:p w14:paraId="629A3FF3" w14:textId="77777777" w:rsidR="002B54C0" w:rsidRDefault="002B54C0" w:rsidP="002B54C0">
            <w:pPr>
              <w:pStyle w:val="PPtext"/>
              <w:spacing w:before="0"/>
              <w:jc w:val="center"/>
              <w:rPr>
                <w:sz w:val="18"/>
                <w:szCs w:val="18"/>
              </w:rPr>
            </w:pPr>
            <w:r>
              <w:rPr>
                <w:sz w:val="18"/>
                <w:szCs w:val="18"/>
              </w:rPr>
              <w:t>$</w:t>
            </w:r>
            <w:r w:rsidRPr="00BD3A90">
              <w:rPr>
                <w:sz w:val="18"/>
                <w:szCs w:val="18"/>
              </w:rPr>
              <w:t>75.5</w:t>
            </w:r>
          </w:p>
        </w:tc>
        <w:tc>
          <w:tcPr>
            <w:tcW w:w="720" w:type="dxa"/>
            <w:tcBorders>
              <w:top w:val="nil"/>
              <w:left w:val="single" w:sz="4" w:space="0" w:color="165788" w:themeColor="text1"/>
              <w:bottom w:val="single" w:sz="12" w:space="0" w:color="165788" w:themeColor="text1"/>
              <w:right w:val="single" w:sz="4" w:space="0" w:color="165788" w:themeColor="text1"/>
            </w:tcBorders>
          </w:tcPr>
          <w:p w14:paraId="52944204" w14:textId="77777777" w:rsidR="002B54C0" w:rsidRPr="00BD3A90" w:rsidRDefault="002B54C0" w:rsidP="002B54C0">
            <w:pPr>
              <w:pStyle w:val="PPtext"/>
              <w:spacing w:before="0"/>
              <w:jc w:val="center"/>
              <w:rPr>
                <w:sz w:val="18"/>
                <w:szCs w:val="18"/>
              </w:rPr>
            </w:pPr>
            <w:r>
              <w:rPr>
                <w:sz w:val="18"/>
                <w:szCs w:val="18"/>
              </w:rPr>
              <w:t>$72.6</w:t>
            </w:r>
          </w:p>
        </w:tc>
        <w:tc>
          <w:tcPr>
            <w:tcW w:w="792" w:type="dxa"/>
            <w:tcBorders>
              <w:top w:val="nil"/>
              <w:left w:val="single" w:sz="4" w:space="0" w:color="165788" w:themeColor="text1"/>
              <w:bottom w:val="single" w:sz="12" w:space="0" w:color="165788" w:themeColor="text1"/>
              <w:right w:val="single" w:sz="4" w:space="0" w:color="165788" w:themeColor="text1"/>
            </w:tcBorders>
          </w:tcPr>
          <w:p w14:paraId="1CB56D25" w14:textId="77777777" w:rsidR="002B54C0" w:rsidRPr="00BD3A90" w:rsidRDefault="002B54C0" w:rsidP="002B54C0">
            <w:pPr>
              <w:pStyle w:val="PPtext"/>
              <w:spacing w:before="0"/>
              <w:ind w:right="173"/>
              <w:jc w:val="right"/>
              <w:rPr>
                <w:sz w:val="18"/>
                <w:szCs w:val="18"/>
              </w:rPr>
            </w:pPr>
            <w:r>
              <w:rPr>
                <w:sz w:val="18"/>
                <w:szCs w:val="18"/>
              </w:rPr>
              <w:t>$1.7</w:t>
            </w:r>
          </w:p>
        </w:tc>
        <w:tc>
          <w:tcPr>
            <w:tcW w:w="720" w:type="dxa"/>
            <w:tcBorders>
              <w:top w:val="nil"/>
              <w:left w:val="single" w:sz="4" w:space="0" w:color="165788" w:themeColor="text1"/>
              <w:bottom w:val="single" w:sz="12" w:space="0" w:color="165788" w:themeColor="text1"/>
              <w:right w:val="single" w:sz="4" w:space="0" w:color="165788" w:themeColor="text1"/>
            </w:tcBorders>
          </w:tcPr>
          <w:p w14:paraId="7728E82C" w14:textId="77777777" w:rsidR="002B54C0" w:rsidRPr="00FA5DAA" w:rsidRDefault="002B54C0" w:rsidP="002B54C0">
            <w:pPr>
              <w:pStyle w:val="PPtext"/>
              <w:spacing w:before="0"/>
              <w:jc w:val="center"/>
              <w:rPr>
                <w:sz w:val="18"/>
                <w:szCs w:val="18"/>
              </w:rPr>
            </w:pPr>
            <w:r w:rsidRPr="00FA5DAA">
              <w:rPr>
                <w:sz w:val="18"/>
                <w:szCs w:val="18"/>
              </w:rPr>
              <w:t>$81.7</w:t>
            </w:r>
          </w:p>
        </w:tc>
        <w:tc>
          <w:tcPr>
            <w:tcW w:w="720" w:type="dxa"/>
            <w:tcBorders>
              <w:top w:val="nil"/>
              <w:left w:val="single" w:sz="4" w:space="0" w:color="165788" w:themeColor="text1"/>
            </w:tcBorders>
          </w:tcPr>
          <w:p w14:paraId="775FE7FA" w14:textId="77777777" w:rsidR="002B54C0" w:rsidRPr="00FA5DAA" w:rsidRDefault="002B54C0" w:rsidP="002B54C0">
            <w:pPr>
              <w:pStyle w:val="PPtext"/>
              <w:spacing w:before="0"/>
              <w:jc w:val="center"/>
              <w:rPr>
                <w:sz w:val="18"/>
                <w:szCs w:val="18"/>
              </w:rPr>
            </w:pPr>
            <w:r>
              <w:rPr>
                <w:sz w:val="18"/>
                <w:szCs w:val="18"/>
              </w:rPr>
              <w:t>$88.0</w:t>
            </w:r>
          </w:p>
        </w:tc>
        <w:tc>
          <w:tcPr>
            <w:tcW w:w="792" w:type="dxa"/>
            <w:tcBorders>
              <w:top w:val="nil"/>
              <w:left w:val="single" w:sz="4" w:space="0" w:color="165788" w:themeColor="text1"/>
            </w:tcBorders>
          </w:tcPr>
          <w:p w14:paraId="355355BC" w14:textId="77777777" w:rsidR="002B54C0" w:rsidRPr="00FA5DAA" w:rsidRDefault="002B54C0" w:rsidP="002B54C0">
            <w:pPr>
              <w:pStyle w:val="PPtext"/>
              <w:spacing w:before="0"/>
              <w:jc w:val="center"/>
              <w:rPr>
                <w:color w:val="FF0000"/>
                <w:sz w:val="18"/>
                <w:szCs w:val="18"/>
              </w:rPr>
            </w:pPr>
            <w:r w:rsidRPr="00FA5DAA">
              <w:rPr>
                <w:color w:val="FF0000"/>
                <w:sz w:val="18"/>
                <w:szCs w:val="18"/>
              </w:rPr>
              <w:t>$-6.3</w:t>
            </w:r>
          </w:p>
        </w:tc>
      </w:tr>
    </w:tbl>
    <w:bookmarkEnd w:id="1"/>
    <w:p w14:paraId="05EBDBAA" w14:textId="77777777" w:rsidR="00031591" w:rsidRDefault="00031591" w:rsidP="00A17A93">
      <w:pPr>
        <w:pStyle w:val="PPtext"/>
        <w:spacing w:before="40"/>
      </w:pPr>
      <w:r>
        <w:t xml:space="preserve">On page 46 of The Plan, the agency charted its projected net losses totaling $159.8 billion, on total revenue of $705.8 billion, over the FY 2021-2030 period.  On pages 49-50, those data are recast to reflect the presumed benefits of the initiatives contained in The Plan.  The text of The Plan did not detail either how the figures were developed or the bases for the projected revenues, expenses, and resulting losses/surpluses.  </w:t>
      </w:r>
    </w:p>
    <w:tbl>
      <w:tblPr>
        <w:tblStyle w:val="TableGrid"/>
        <w:tblpPr w:rightFromText="72" w:vertAnchor="text" w:horzAnchor="margin" w:tblpY="900"/>
        <w:tblOverlap w:val="never"/>
        <w:tblW w:w="0" w:type="auto"/>
        <w:tblBorders>
          <w:top w:val="single" w:sz="12" w:space="0" w:color="165788" w:themeColor="text1"/>
          <w:left w:val="single" w:sz="12" w:space="0" w:color="165788" w:themeColor="text1"/>
          <w:bottom w:val="single" w:sz="12" w:space="0" w:color="165788" w:themeColor="text1"/>
          <w:right w:val="single" w:sz="12" w:space="0" w:color="165788" w:themeColor="text1"/>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432"/>
        <w:gridCol w:w="720"/>
        <w:gridCol w:w="720"/>
        <w:gridCol w:w="792"/>
        <w:gridCol w:w="720"/>
        <w:gridCol w:w="720"/>
        <w:gridCol w:w="792"/>
      </w:tblGrid>
      <w:tr w:rsidR="002B54C0" w:rsidRPr="00BD3A90" w14:paraId="6838D1F8" w14:textId="77777777" w:rsidTr="002B54C0">
        <w:tc>
          <w:tcPr>
            <w:tcW w:w="432" w:type="dxa"/>
            <w:vMerge w:val="restart"/>
            <w:tcBorders>
              <w:top w:val="single" w:sz="12" w:space="0" w:color="165788" w:themeColor="text1"/>
              <w:right w:val="single" w:sz="4" w:space="0" w:color="165788" w:themeColor="text1"/>
            </w:tcBorders>
            <w:shd w:val="clear" w:color="auto" w:fill="C2DFF5" w:themeFill="text1" w:themeFillTint="33"/>
            <w:vAlign w:val="center"/>
          </w:tcPr>
          <w:p w14:paraId="0D395C3A" w14:textId="77777777" w:rsidR="002B54C0" w:rsidRPr="00BD3A90" w:rsidRDefault="002B54C0" w:rsidP="002B54C0">
            <w:pPr>
              <w:pStyle w:val="PPtext"/>
              <w:spacing w:before="0"/>
              <w:jc w:val="center"/>
              <w:rPr>
                <w:sz w:val="18"/>
                <w:szCs w:val="18"/>
              </w:rPr>
            </w:pPr>
            <w:r w:rsidRPr="00BD3A90">
              <w:rPr>
                <w:sz w:val="18"/>
                <w:szCs w:val="18"/>
              </w:rPr>
              <w:t>FY</w:t>
            </w:r>
          </w:p>
        </w:tc>
        <w:tc>
          <w:tcPr>
            <w:tcW w:w="2232" w:type="dxa"/>
            <w:gridSpan w:val="3"/>
            <w:tcBorders>
              <w:top w:val="single" w:sz="12" w:space="0" w:color="165788" w:themeColor="text1"/>
              <w:bottom w:val="single" w:sz="4" w:space="0" w:color="165788" w:themeColor="text1"/>
              <w:right w:val="single" w:sz="4" w:space="0" w:color="165788" w:themeColor="text1"/>
            </w:tcBorders>
            <w:shd w:val="clear" w:color="auto" w:fill="F5E9CC" w:themeFill="background2" w:themeFillTint="33"/>
          </w:tcPr>
          <w:p w14:paraId="6C93C215" w14:textId="77777777" w:rsidR="002B54C0" w:rsidRPr="00BD3A90" w:rsidRDefault="002B54C0" w:rsidP="002B54C0">
            <w:pPr>
              <w:pStyle w:val="PPtext"/>
              <w:spacing w:before="0"/>
              <w:jc w:val="center"/>
              <w:rPr>
                <w:sz w:val="18"/>
                <w:szCs w:val="18"/>
              </w:rPr>
            </w:pPr>
            <w:r w:rsidRPr="004A3800">
              <w:rPr>
                <w:b/>
                <w:bCs/>
                <w:sz w:val="18"/>
                <w:szCs w:val="18"/>
              </w:rPr>
              <w:t>With Plan</w:t>
            </w:r>
            <w:r>
              <w:rPr>
                <w:sz w:val="18"/>
                <w:szCs w:val="18"/>
              </w:rPr>
              <w:t xml:space="preserve"> </w:t>
            </w:r>
            <w:r w:rsidRPr="00BD3A90">
              <w:rPr>
                <w:sz w:val="18"/>
                <w:szCs w:val="18"/>
              </w:rPr>
              <w:t>Project</w:t>
            </w:r>
            <w:r>
              <w:rPr>
                <w:sz w:val="18"/>
                <w:szCs w:val="18"/>
              </w:rPr>
              <w:t>ion (Billions)</w:t>
            </w:r>
          </w:p>
        </w:tc>
        <w:tc>
          <w:tcPr>
            <w:tcW w:w="2232" w:type="dxa"/>
            <w:gridSpan w:val="3"/>
            <w:tcBorders>
              <w:top w:val="single" w:sz="12" w:space="0" w:color="165788" w:themeColor="text1"/>
            </w:tcBorders>
            <w:shd w:val="clear" w:color="auto" w:fill="F5E9CC" w:themeFill="background2" w:themeFillTint="33"/>
          </w:tcPr>
          <w:p w14:paraId="7B89957D" w14:textId="77777777" w:rsidR="002B54C0" w:rsidRPr="00BD3A90" w:rsidRDefault="002B54C0" w:rsidP="002B54C0">
            <w:pPr>
              <w:pStyle w:val="PPtext"/>
              <w:spacing w:before="0"/>
              <w:jc w:val="center"/>
              <w:rPr>
                <w:sz w:val="18"/>
                <w:szCs w:val="18"/>
              </w:rPr>
            </w:pPr>
            <w:r w:rsidRPr="004A3800">
              <w:rPr>
                <w:b/>
                <w:bCs/>
                <w:sz w:val="18"/>
                <w:szCs w:val="18"/>
              </w:rPr>
              <w:t>Actual</w:t>
            </w:r>
            <w:r>
              <w:rPr>
                <w:sz w:val="18"/>
                <w:szCs w:val="18"/>
              </w:rPr>
              <w:t xml:space="preserve"> Results (Billions)</w:t>
            </w:r>
          </w:p>
        </w:tc>
      </w:tr>
      <w:tr w:rsidR="002B54C0" w:rsidRPr="00BD3A90" w14:paraId="710F30CB" w14:textId="77777777" w:rsidTr="002B54C0">
        <w:tc>
          <w:tcPr>
            <w:tcW w:w="432" w:type="dxa"/>
            <w:vMerge/>
            <w:tcBorders>
              <w:bottom w:val="single" w:sz="4" w:space="0" w:color="165788" w:themeColor="text1"/>
              <w:right w:val="single" w:sz="4" w:space="0" w:color="165788" w:themeColor="text1"/>
            </w:tcBorders>
            <w:shd w:val="clear" w:color="auto" w:fill="C2DFF5" w:themeFill="text1" w:themeFillTint="33"/>
          </w:tcPr>
          <w:p w14:paraId="66DC1725" w14:textId="77777777" w:rsidR="002B54C0" w:rsidRPr="00BD3A90" w:rsidRDefault="002B54C0" w:rsidP="002B54C0">
            <w:pPr>
              <w:pStyle w:val="PPtext"/>
              <w:spacing w:before="0"/>
              <w:jc w:val="center"/>
              <w:rPr>
                <w:sz w:val="18"/>
                <w:szCs w:val="18"/>
              </w:rPr>
            </w:pPr>
          </w:p>
        </w:tc>
        <w:tc>
          <w:tcPr>
            <w:tcW w:w="720" w:type="dxa"/>
            <w:tcBorders>
              <w:top w:val="single" w:sz="4" w:space="0" w:color="165788" w:themeColor="text1"/>
              <w:bottom w:val="single" w:sz="4" w:space="0" w:color="165788" w:themeColor="text1"/>
              <w:right w:val="single" w:sz="4" w:space="0" w:color="165788" w:themeColor="text1"/>
            </w:tcBorders>
            <w:shd w:val="clear" w:color="auto" w:fill="C2DFF5" w:themeFill="text1" w:themeFillTint="33"/>
          </w:tcPr>
          <w:p w14:paraId="2470D08B" w14:textId="77777777" w:rsidR="002B54C0" w:rsidRPr="00BD3A90" w:rsidRDefault="002B54C0" w:rsidP="002B54C0">
            <w:pPr>
              <w:pStyle w:val="PPtext"/>
              <w:spacing w:before="0"/>
              <w:jc w:val="center"/>
              <w:rPr>
                <w:sz w:val="18"/>
                <w:szCs w:val="18"/>
              </w:rPr>
            </w:pPr>
            <w:r w:rsidRPr="00BD3A90">
              <w:rPr>
                <w:sz w:val="18"/>
                <w:szCs w:val="18"/>
              </w:rPr>
              <w:t>Revenue</w:t>
            </w:r>
          </w:p>
        </w:tc>
        <w:tc>
          <w:tcPr>
            <w:tcW w:w="720" w:type="dxa"/>
            <w:tcBorders>
              <w:top w:val="single" w:sz="4" w:space="0" w:color="165788" w:themeColor="text1"/>
              <w:left w:val="single" w:sz="4" w:space="0" w:color="165788" w:themeColor="text1"/>
              <w:bottom w:val="single" w:sz="4" w:space="0" w:color="165788" w:themeColor="text1"/>
              <w:right w:val="single" w:sz="4" w:space="0" w:color="165788" w:themeColor="text1"/>
            </w:tcBorders>
            <w:shd w:val="clear" w:color="auto" w:fill="C2DFF5" w:themeFill="text1" w:themeFillTint="33"/>
          </w:tcPr>
          <w:p w14:paraId="16FD1FC4" w14:textId="77777777" w:rsidR="002B54C0" w:rsidRPr="00BD3A90" w:rsidRDefault="002B54C0" w:rsidP="002B54C0">
            <w:pPr>
              <w:pStyle w:val="PPtext"/>
              <w:spacing w:before="0"/>
              <w:jc w:val="center"/>
              <w:rPr>
                <w:sz w:val="18"/>
                <w:szCs w:val="18"/>
              </w:rPr>
            </w:pPr>
            <w:r>
              <w:rPr>
                <w:sz w:val="18"/>
                <w:szCs w:val="18"/>
              </w:rPr>
              <w:t>Expenses</w:t>
            </w:r>
          </w:p>
        </w:tc>
        <w:tc>
          <w:tcPr>
            <w:tcW w:w="792" w:type="dxa"/>
            <w:tcBorders>
              <w:top w:val="single" w:sz="4" w:space="0" w:color="165788" w:themeColor="text1"/>
              <w:left w:val="single" w:sz="4" w:space="0" w:color="165788" w:themeColor="text1"/>
              <w:bottom w:val="single" w:sz="4" w:space="0" w:color="165788" w:themeColor="text1"/>
              <w:right w:val="single" w:sz="4" w:space="0" w:color="165788" w:themeColor="text1"/>
            </w:tcBorders>
            <w:shd w:val="clear" w:color="auto" w:fill="C2DFF5" w:themeFill="text1" w:themeFillTint="33"/>
          </w:tcPr>
          <w:p w14:paraId="07B86FAF" w14:textId="77777777" w:rsidR="002B54C0" w:rsidRPr="00BD3A90" w:rsidRDefault="002B54C0" w:rsidP="002B54C0">
            <w:pPr>
              <w:pStyle w:val="PPtext"/>
              <w:spacing w:before="0"/>
              <w:jc w:val="center"/>
              <w:rPr>
                <w:sz w:val="18"/>
                <w:szCs w:val="18"/>
              </w:rPr>
            </w:pPr>
            <w:r>
              <w:rPr>
                <w:sz w:val="18"/>
                <w:szCs w:val="18"/>
              </w:rPr>
              <w:t>Net Result</w:t>
            </w:r>
          </w:p>
        </w:tc>
        <w:tc>
          <w:tcPr>
            <w:tcW w:w="720" w:type="dxa"/>
            <w:tcBorders>
              <w:top w:val="single" w:sz="4" w:space="0" w:color="165788" w:themeColor="text1"/>
              <w:left w:val="single" w:sz="4" w:space="0" w:color="165788" w:themeColor="text1"/>
              <w:bottom w:val="single" w:sz="4" w:space="0" w:color="165788" w:themeColor="text1"/>
              <w:right w:val="single" w:sz="4" w:space="0" w:color="165788" w:themeColor="text1"/>
            </w:tcBorders>
            <w:shd w:val="clear" w:color="auto" w:fill="C2DFF5" w:themeFill="text1" w:themeFillTint="33"/>
            <w:vAlign w:val="center"/>
          </w:tcPr>
          <w:p w14:paraId="49A13902" w14:textId="77777777" w:rsidR="002B54C0" w:rsidRPr="00BD3A90" w:rsidRDefault="002B54C0" w:rsidP="002B54C0">
            <w:pPr>
              <w:pStyle w:val="PPtext"/>
              <w:spacing w:before="0"/>
              <w:jc w:val="center"/>
              <w:rPr>
                <w:sz w:val="18"/>
                <w:szCs w:val="18"/>
              </w:rPr>
            </w:pPr>
            <w:r w:rsidRPr="00BD3A90">
              <w:rPr>
                <w:sz w:val="18"/>
                <w:szCs w:val="18"/>
              </w:rPr>
              <w:t>Revenue</w:t>
            </w:r>
          </w:p>
        </w:tc>
        <w:tc>
          <w:tcPr>
            <w:tcW w:w="720" w:type="dxa"/>
            <w:tcBorders>
              <w:top w:val="single" w:sz="4" w:space="0" w:color="165788" w:themeColor="text1"/>
              <w:left w:val="single" w:sz="4" w:space="0" w:color="165788" w:themeColor="text1"/>
              <w:bottom w:val="single" w:sz="4" w:space="0" w:color="165788" w:themeColor="text1"/>
            </w:tcBorders>
            <w:shd w:val="clear" w:color="auto" w:fill="C2DFF5" w:themeFill="text1" w:themeFillTint="33"/>
            <w:vAlign w:val="center"/>
          </w:tcPr>
          <w:p w14:paraId="4914D08D" w14:textId="77777777" w:rsidR="002B54C0" w:rsidRPr="00BD3A90" w:rsidRDefault="002B54C0" w:rsidP="002B54C0">
            <w:pPr>
              <w:pStyle w:val="PPtext"/>
              <w:spacing w:before="0"/>
              <w:jc w:val="center"/>
              <w:rPr>
                <w:sz w:val="18"/>
                <w:szCs w:val="18"/>
              </w:rPr>
            </w:pPr>
            <w:r>
              <w:rPr>
                <w:sz w:val="18"/>
                <w:szCs w:val="18"/>
              </w:rPr>
              <w:t>Expenses</w:t>
            </w:r>
          </w:p>
        </w:tc>
        <w:tc>
          <w:tcPr>
            <w:tcW w:w="792" w:type="dxa"/>
            <w:tcBorders>
              <w:top w:val="single" w:sz="4" w:space="0" w:color="165788" w:themeColor="text1"/>
              <w:left w:val="single" w:sz="4" w:space="0" w:color="165788" w:themeColor="text1"/>
              <w:bottom w:val="single" w:sz="4" w:space="0" w:color="165788" w:themeColor="text1"/>
            </w:tcBorders>
            <w:shd w:val="clear" w:color="auto" w:fill="C2DFF5" w:themeFill="text1" w:themeFillTint="33"/>
            <w:vAlign w:val="center"/>
          </w:tcPr>
          <w:p w14:paraId="3E918E5C" w14:textId="77777777" w:rsidR="002B54C0" w:rsidRDefault="002B54C0" w:rsidP="002B54C0">
            <w:pPr>
              <w:pStyle w:val="PPtext"/>
              <w:spacing w:before="0"/>
              <w:jc w:val="center"/>
              <w:rPr>
                <w:sz w:val="18"/>
                <w:szCs w:val="18"/>
              </w:rPr>
            </w:pPr>
            <w:r>
              <w:rPr>
                <w:sz w:val="18"/>
                <w:szCs w:val="18"/>
              </w:rPr>
              <w:t>Net Result</w:t>
            </w:r>
          </w:p>
        </w:tc>
      </w:tr>
      <w:tr w:rsidR="002B54C0" w:rsidRPr="00BD3A90" w14:paraId="68B2E38A" w14:textId="77777777" w:rsidTr="002B54C0">
        <w:tc>
          <w:tcPr>
            <w:tcW w:w="432" w:type="dxa"/>
            <w:tcBorders>
              <w:top w:val="single" w:sz="4" w:space="0" w:color="165788" w:themeColor="text1"/>
              <w:bottom w:val="nil"/>
              <w:right w:val="single" w:sz="4" w:space="0" w:color="165788" w:themeColor="text1"/>
            </w:tcBorders>
          </w:tcPr>
          <w:p w14:paraId="6ECFBF9F" w14:textId="77777777" w:rsidR="002B54C0" w:rsidRPr="00BD3A90" w:rsidRDefault="002B54C0" w:rsidP="002B54C0">
            <w:pPr>
              <w:pStyle w:val="PPtext"/>
              <w:spacing w:before="0"/>
              <w:jc w:val="center"/>
              <w:rPr>
                <w:sz w:val="18"/>
                <w:szCs w:val="18"/>
              </w:rPr>
            </w:pPr>
            <w:r w:rsidRPr="00BD3A90">
              <w:rPr>
                <w:sz w:val="18"/>
                <w:szCs w:val="18"/>
              </w:rPr>
              <w:t>2021</w:t>
            </w:r>
          </w:p>
        </w:tc>
        <w:tc>
          <w:tcPr>
            <w:tcW w:w="720" w:type="dxa"/>
            <w:tcBorders>
              <w:top w:val="single" w:sz="4" w:space="0" w:color="165788" w:themeColor="text1"/>
              <w:bottom w:val="nil"/>
              <w:right w:val="single" w:sz="4" w:space="0" w:color="165788" w:themeColor="text1"/>
            </w:tcBorders>
          </w:tcPr>
          <w:p w14:paraId="32F73BE9" w14:textId="77777777" w:rsidR="002B54C0" w:rsidRDefault="002B54C0" w:rsidP="002B54C0">
            <w:pPr>
              <w:pStyle w:val="PPtext"/>
              <w:spacing w:before="0"/>
              <w:jc w:val="center"/>
              <w:rPr>
                <w:sz w:val="18"/>
                <w:szCs w:val="18"/>
              </w:rPr>
            </w:pPr>
            <w:r>
              <w:rPr>
                <w:sz w:val="18"/>
                <w:szCs w:val="18"/>
              </w:rPr>
              <w:t>$</w:t>
            </w:r>
            <w:r w:rsidRPr="00BD3A90">
              <w:rPr>
                <w:sz w:val="18"/>
                <w:szCs w:val="18"/>
              </w:rPr>
              <w:t>71.1</w:t>
            </w:r>
          </w:p>
        </w:tc>
        <w:tc>
          <w:tcPr>
            <w:tcW w:w="720" w:type="dxa"/>
            <w:tcBorders>
              <w:top w:val="single" w:sz="4" w:space="0" w:color="165788" w:themeColor="text1"/>
              <w:left w:val="single" w:sz="4" w:space="0" w:color="165788" w:themeColor="text1"/>
              <w:bottom w:val="nil"/>
              <w:right w:val="single" w:sz="4" w:space="0" w:color="165788" w:themeColor="text1"/>
            </w:tcBorders>
          </w:tcPr>
          <w:p w14:paraId="51C22AF1" w14:textId="77777777" w:rsidR="002B54C0" w:rsidRPr="00BD3A90" w:rsidRDefault="002B54C0" w:rsidP="002B54C0">
            <w:pPr>
              <w:pStyle w:val="PPtext"/>
              <w:spacing w:before="0"/>
              <w:jc w:val="center"/>
              <w:rPr>
                <w:sz w:val="18"/>
                <w:szCs w:val="18"/>
              </w:rPr>
            </w:pPr>
            <w:r>
              <w:rPr>
                <w:sz w:val="18"/>
                <w:szCs w:val="18"/>
              </w:rPr>
              <w:t>$76.5</w:t>
            </w:r>
          </w:p>
        </w:tc>
        <w:tc>
          <w:tcPr>
            <w:tcW w:w="792" w:type="dxa"/>
            <w:tcBorders>
              <w:top w:val="single" w:sz="4" w:space="0" w:color="165788" w:themeColor="text1"/>
              <w:left w:val="single" w:sz="4" w:space="0" w:color="165788" w:themeColor="text1"/>
              <w:bottom w:val="nil"/>
              <w:right w:val="single" w:sz="4" w:space="0" w:color="165788" w:themeColor="text1"/>
            </w:tcBorders>
          </w:tcPr>
          <w:p w14:paraId="20F63C77" w14:textId="77777777" w:rsidR="002B54C0" w:rsidRPr="003C1B98" w:rsidRDefault="002B54C0" w:rsidP="002B54C0">
            <w:pPr>
              <w:pStyle w:val="PPtext"/>
              <w:spacing w:before="0"/>
              <w:ind w:right="173"/>
              <w:jc w:val="right"/>
              <w:rPr>
                <w:color w:val="FF0000"/>
                <w:sz w:val="18"/>
                <w:szCs w:val="18"/>
              </w:rPr>
            </w:pPr>
            <w:r w:rsidRPr="003C1B98">
              <w:rPr>
                <w:color w:val="FF0000"/>
                <w:sz w:val="18"/>
                <w:szCs w:val="18"/>
              </w:rPr>
              <w:t>$-9.4</w:t>
            </w:r>
          </w:p>
        </w:tc>
        <w:tc>
          <w:tcPr>
            <w:tcW w:w="720" w:type="dxa"/>
            <w:tcBorders>
              <w:top w:val="single" w:sz="4" w:space="0" w:color="165788" w:themeColor="text1"/>
              <w:left w:val="single" w:sz="4" w:space="0" w:color="165788" w:themeColor="text1"/>
              <w:bottom w:val="nil"/>
              <w:right w:val="single" w:sz="4" w:space="0" w:color="165788" w:themeColor="text1"/>
            </w:tcBorders>
          </w:tcPr>
          <w:p w14:paraId="217A5DB3" w14:textId="77777777" w:rsidR="002B54C0" w:rsidRPr="00BD3A90" w:rsidRDefault="002B54C0" w:rsidP="002B54C0">
            <w:pPr>
              <w:pStyle w:val="PPtext"/>
              <w:spacing w:before="0"/>
              <w:jc w:val="center"/>
              <w:rPr>
                <w:sz w:val="18"/>
                <w:szCs w:val="18"/>
              </w:rPr>
            </w:pPr>
            <w:r>
              <w:rPr>
                <w:sz w:val="18"/>
                <w:szCs w:val="18"/>
              </w:rPr>
              <w:t>$77.0</w:t>
            </w:r>
          </w:p>
        </w:tc>
        <w:tc>
          <w:tcPr>
            <w:tcW w:w="720" w:type="dxa"/>
            <w:tcBorders>
              <w:top w:val="single" w:sz="4" w:space="0" w:color="165788" w:themeColor="text1"/>
              <w:left w:val="single" w:sz="4" w:space="0" w:color="165788" w:themeColor="text1"/>
              <w:bottom w:val="nil"/>
            </w:tcBorders>
          </w:tcPr>
          <w:p w14:paraId="6E6965E7" w14:textId="77777777" w:rsidR="002B54C0" w:rsidRPr="00AC76E7" w:rsidRDefault="002B54C0" w:rsidP="002B54C0">
            <w:pPr>
              <w:pStyle w:val="PPtext"/>
              <w:spacing w:before="0"/>
              <w:jc w:val="center"/>
              <w:rPr>
                <w:sz w:val="18"/>
                <w:szCs w:val="18"/>
              </w:rPr>
            </w:pPr>
            <w:r>
              <w:rPr>
                <w:sz w:val="18"/>
                <w:szCs w:val="18"/>
              </w:rPr>
              <w:t>$81.8</w:t>
            </w:r>
          </w:p>
        </w:tc>
        <w:tc>
          <w:tcPr>
            <w:tcW w:w="792" w:type="dxa"/>
            <w:tcBorders>
              <w:top w:val="single" w:sz="4" w:space="0" w:color="165788" w:themeColor="text1"/>
              <w:left w:val="single" w:sz="4" w:space="0" w:color="165788" w:themeColor="text1"/>
              <w:bottom w:val="nil"/>
            </w:tcBorders>
          </w:tcPr>
          <w:p w14:paraId="5C7752DE" w14:textId="77777777" w:rsidR="002B54C0" w:rsidRPr="003C1B98" w:rsidRDefault="002B54C0" w:rsidP="002B54C0">
            <w:pPr>
              <w:pStyle w:val="PPtext"/>
              <w:spacing w:before="0"/>
              <w:jc w:val="center"/>
              <w:rPr>
                <w:color w:val="FF0000"/>
                <w:sz w:val="18"/>
                <w:szCs w:val="18"/>
              </w:rPr>
            </w:pPr>
            <w:r w:rsidRPr="003C1B98">
              <w:rPr>
                <w:color w:val="FF0000"/>
                <w:sz w:val="18"/>
                <w:szCs w:val="18"/>
              </w:rPr>
              <w:t>$-</w:t>
            </w:r>
            <w:r>
              <w:rPr>
                <w:color w:val="FF0000"/>
                <w:sz w:val="18"/>
                <w:szCs w:val="18"/>
              </w:rPr>
              <w:t>4.9</w:t>
            </w:r>
          </w:p>
        </w:tc>
      </w:tr>
      <w:tr w:rsidR="002B54C0" w:rsidRPr="00BD3A90" w14:paraId="693A3487" w14:textId="77777777" w:rsidTr="002B54C0">
        <w:tc>
          <w:tcPr>
            <w:tcW w:w="432" w:type="dxa"/>
            <w:tcBorders>
              <w:top w:val="nil"/>
              <w:bottom w:val="nil"/>
              <w:right w:val="single" w:sz="4" w:space="0" w:color="165788" w:themeColor="text1"/>
            </w:tcBorders>
            <w:shd w:val="clear" w:color="auto" w:fill="F2F2F2" w:themeFill="background1" w:themeFillShade="F2"/>
          </w:tcPr>
          <w:p w14:paraId="31D01D9E" w14:textId="77777777" w:rsidR="002B54C0" w:rsidRPr="00BD3A90" w:rsidRDefault="002B54C0" w:rsidP="002B54C0">
            <w:pPr>
              <w:pStyle w:val="PPtext"/>
              <w:spacing w:before="0"/>
              <w:jc w:val="center"/>
              <w:rPr>
                <w:sz w:val="18"/>
                <w:szCs w:val="18"/>
              </w:rPr>
            </w:pPr>
            <w:r w:rsidRPr="00BD3A90">
              <w:rPr>
                <w:sz w:val="18"/>
                <w:szCs w:val="18"/>
              </w:rPr>
              <w:t>2022</w:t>
            </w:r>
          </w:p>
        </w:tc>
        <w:tc>
          <w:tcPr>
            <w:tcW w:w="720" w:type="dxa"/>
            <w:tcBorders>
              <w:top w:val="nil"/>
              <w:bottom w:val="nil"/>
              <w:right w:val="single" w:sz="4" w:space="0" w:color="165788" w:themeColor="text1"/>
            </w:tcBorders>
            <w:shd w:val="clear" w:color="auto" w:fill="F2F2F2" w:themeFill="background1" w:themeFillShade="F2"/>
          </w:tcPr>
          <w:p w14:paraId="180D133D" w14:textId="77777777" w:rsidR="002B54C0" w:rsidRDefault="002B54C0" w:rsidP="002B54C0">
            <w:pPr>
              <w:pStyle w:val="PPtext"/>
              <w:spacing w:before="0"/>
              <w:jc w:val="center"/>
              <w:rPr>
                <w:sz w:val="18"/>
                <w:szCs w:val="18"/>
              </w:rPr>
            </w:pPr>
            <w:r>
              <w:rPr>
                <w:sz w:val="18"/>
                <w:szCs w:val="18"/>
              </w:rPr>
              <w:t>$</w:t>
            </w:r>
            <w:r w:rsidRPr="00BD3A90">
              <w:rPr>
                <w:sz w:val="18"/>
                <w:szCs w:val="18"/>
              </w:rPr>
              <w:t>71.3</w:t>
            </w:r>
          </w:p>
        </w:tc>
        <w:tc>
          <w:tcPr>
            <w:tcW w:w="720" w:type="dxa"/>
            <w:tcBorders>
              <w:top w:val="nil"/>
              <w:left w:val="single" w:sz="4" w:space="0" w:color="165788" w:themeColor="text1"/>
              <w:bottom w:val="nil"/>
              <w:right w:val="single" w:sz="4" w:space="0" w:color="165788" w:themeColor="text1"/>
            </w:tcBorders>
            <w:shd w:val="clear" w:color="auto" w:fill="F2F2F2" w:themeFill="background1" w:themeFillShade="F2"/>
          </w:tcPr>
          <w:p w14:paraId="48A7C0A9" w14:textId="77777777" w:rsidR="002B54C0" w:rsidRPr="00BD3A90" w:rsidRDefault="002B54C0" w:rsidP="002B54C0">
            <w:pPr>
              <w:pStyle w:val="PPtext"/>
              <w:spacing w:before="0"/>
              <w:jc w:val="center"/>
              <w:rPr>
                <w:sz w:val="18"/>
                <w:szCs w:val="18"/>
              </w:rPr>
            </w:pPr>
            <w:r>
              <w:rPr>
                <w:sz w:val="18"/>
                <w:szCs w:val="18"/>
              </w:rPr>
              <w:t>$72.2</w:t>
            </w:r>
          </w:p>
        </w:tc>
        <w:tc>
          <w:tcPr>
            <w:tcW w:w="792" w:type="dxa"/>
            <w:tcBorders>
              <w:top w:val="nil"/>
              <w:left w:val="single" w:sz="4" w:space="0" w:color="165788" w:themeColor="text1"/>
              <w:bottom w:val="nil"/>
              <w:right w:val="single" w:sz="4" w:space="0" w:color="165788" w:themeColor="text1"/>
            </w:tcBorders>
            <w:shd w:val="clear" w:color="auto" w:fill="F2F2F2" w:themeFill="background1" w:themeFillShade="F2"/>
          </w:tcPr>
          <w:p w14:paraId="6696E165" w14:textId="77777777" w:rsidR="002B54C0" w:rsidRPr="003C1B98" w:rsidRDefault="002B54C0" w:rsidP="002B54C0">
            <w:pPr>
              <w:pStyle w:val="PPtext"/>
              <w:spacing w:before="0"/>
              <w:ind w:right="173"/>
              <w:jc w:val="right"/>
              <w:rPr>
                <w:color w:val="FF0000"/>
                <w:sz w:val="18"/>
                <w:szCs w:val="18"/>
              </w:rPr>
            </w:pPr>
            <w:r w:rsidRPr="003C1B98">
              <w:rPr>
                <w:color w:val="FF0000"/>
                <w:sz w:val="18"/>
                <w:szCs w:val="18"/>
              </w:rPr>
              <w:t>$-2.2</w:t>
            </w:r>
          </w:p>
        </w:tc>
        <w:tc>
          <w:tcPr>
            <w:tcW w:w="720" w:type="dxa"/>
            <w:tcBorders>
              <w:top w:val="nil"/>
              <w:left w:val="single" w:sz="4" w:space="0" w:color="165788" w:themeColor="text1"/>
              <w:bottom w:val="nil"/>
              <w:right w:val="single" w:sz="4" w:space="0" w:color="165788" w:themeColor="text1"/>
            </w:tcBorders>
            <w:shd w:val="clear" w:color="auto" w:fill="F2F2F2" w:themeFill="background1" w:themeFillShade="F2"/>
          </w:tcPr>
          <w:p w14:paraId="4551BCE7" w14:textId="77777777" w:rsidR="002B54C0" w:rsidRPr="00BD3A90" w:rsidRDefault="002B54C0" w:rsidP="002B54C0">
            <w:pPr>
              <w:pStyle w:val="PPtext"/>
              <w:spacing w:before="0"/>
              <w:jc w:val="center"/>
              <w:rPr>
                <w:sz w:val="18"/>
                <w:szCs w:val="18"/>
              </w:rPr>
            </w:pPr>
            <w:r>
              <w:rPr>
                <w:sz w:val="18"/>
                <w:szCs w:val="18"/>
              </w:rPr>
              <w:t>$78.6</w:t>
            </w:r>
          </w:p>
        </w:tc>
        <w:tc>
          <w:tcPr>
            <w:tcW w:w="720" w:type="dxa"/>
            <w:tcBorders>
              <w:top w:val="nil"/>
              <w:left w:val="single" w:sz="4" w:space="0" w:color="165788" w:themeColor="text1"/>
              <w:bottom w:val="nil"/>
            </w:tcBorders>
            <w:shd w:val="clear" w:color="auto" w:fill="F2F2F2" w:themeFill="background1" w:themeFillShade="F2"/>
          </w:tcPr>
          <w:p w14:paraId="6BC8C242" w14:textId="77777777" w:rsidR="002B54C0" w:rsidRPr="00AC76E7" w:rsidRDefault="002B54C0" w:rsidP="002B54C0">
            <w:pPr>
              <w:pStyle w:val="PPtext"/>
              <w:spacing w:before="0"/>
              <w:jc w:val="center"/>
              <w:rPr>
                <w:sz w:val="18"/>
                <w:szCs w:val="18"/>
              </w:rPr>
            </w:pPr>
            <w:r>
              <w:rPr>
                <w:sz w:val="18"/>
                <w:szCs w:val="18"/>
              </w:rPr>
              <w:t>$79.6</w:t>
            </w:r>
          </w:p>
        </w:tc>
        <w:tc>
          <w:tcPr>
            <w:tcW w:w="792" w:type="dxa"/>
            <w:tcBorders>
              <w:top w:val="nil"/>
              <w:left w:val="single" w:sz="4" w:space="0" w:color="165788" w:themeColor="text1"/>
              <w:bottom w:val="nil"/>
            </w:tcBorders>
            <w:shd w:val="clear" w:color="auto" w:fill="F2F2F2" w:themeFill="background1" w:themeFillShade="F2"/>
          </w:tcPr>
          <w:p w14:paraId="0FD13DBD" w14:textId="77777777" w:rsidR="002B54C0" w:rsidRPr="003C1B98" w:rsidRDefault="002B54C0" w:rsidP="002B54C0">
            <w:pPr>
              <w:pStyle w:val="PPtext"/>
              <w:spacing w:before="0"/>
              <w:jc w:val="center"/>
              <w:rPr>
                <w:color w:val="FF0000"/>
                <w:sz w:val="18"/>
                <w:szCs w:val="18"/>
              </w:rPr>
            </w:pPr>
            <w:r w:rsidRPr="003C1B98">
              <w:rPr>
                <w:color w:val="FF0000"/>
                <w:sz w:val="18"/>
                <w:szCs w:val="18"/>
              </w:rPr>
              <w:t>$-</w:t>
            </w:r>
            <w:r>
              <w:rPr>
                <w:color w:val="FF0000"/>
                <w:sz w:val="18"/>
                <w:szCs w:val="18"/>
              </w:rPr>
              <w:t>1.0</w:t>
            </w:r>
          </w:p>
        </w:tc>
      </w:tr>
      <w:tr w:rsidR="002B54C0" w:rsidRPr="00BD3A90" w14:paraId="7619D5C8" w14:textId="77777777" w:rsidTr="002B54C0">
        <w:tc>
          <w:tcPr>
            <w:tcW w:w="432" w:type="dxa"/>
            <w:tcBorders>
              <w:top w:val="nil"/>
              <w:bottom w:val="single" w:sz="12" w:space="0" w:color="165788" w:themeColor="text1"/>
              <w:right w:val="single" w:sz="4" w:space="0" w:color="165788" w:themeColor="text1"/>
            </w:tcBorders>
            <w:shd w:val="clear" w:color="auto" w:fill="auto"/>
          </w:tcPr>
          <w:p w14:paraId="78FE1A12" w14:textId="77777777" w:rsidR="002B54C0" w:rsidRPr="00BD3A90" w:rsidRDefault="002B54C0" w:rsidP="002B54C0">
            <w:pPr>
              <w:pStyle w:val="PPtext"/>
              <w:spacing w:before="0"/>
              <w:jc w:val="center"/>
              <w:rPr>
                <w:sz w:val="18"/>
                <w:szCs w:val="18"/>
              </w:rPr>
            </w:pPr>
            <w:r w:rsidRPr="00BD3A90">
              <w:rPr>
                <w:sz w:val="18"/>
                <w:szCs w:val="18"/>
              </w:rPr>
              <w:t>2023</w:t>
            </w:r>
          </w:p>
        </w:tc>
        <w:tc>
          <w:tcPr>
            <w:tcW w:w="720" w:type="dxa"/>
            <w:tcBorders>
              <w:top w:val="nil"/>
              <w:bottom w:val="single" w:sz="12" w:space="0" w:color="165788" w:themeColor="text1"/>
              <w:right w:val="single" w:sz="4" w:space="0" w:color="165788" w:themeColor="text1"/>
            </w:tcBorders>
            <w:shd w:val="clear" w:color="auto" w:fill="auto"/>
          </w:tcPr>
          <w:p w14:paraId="473B2E7B" w14:textId="77777777" w:rsidR="002B54C0" w:rsidRDefault="002B54C0" w:rsidP="002B54C0">
            <w:pPr>
              <w:pStyle w:val="PPtext"/>
              <w:spacing w:before="0"/>
              <w:jc w:val="center"/>
              <w:rPr>
                <w:sz w:val="18"/>
                <w:szCs w:val="18"/>
              </w:rPr>
            </w:pPr>
            <w:r>
              <w:rPr>
                <w:sz w:val="18"/>
                <w:szCs w:val="18"/>
              </w:rPr>
              <w:t>$</w:t>
            </w:r>
            <w:r w:rsidRPr="00BD3A90">
              <w:rPr>
                <w:sz w:val="18"/>
                <w:szCs w:val="18"/>
              </w:rPr>
              <w:t>73.7</w:t>
            </w:r>
          </w:p>
        </w:tc>
        <w:tc>
          <w:tcPr>
            <w:tcW w:w="720" w:type="dxa"/>
            <w:tcBorders>
              <w:top w:val="nil"/>
              <w:left w:val="single" w:sz="4" w:space="0" w:color="165788" w:themeColor="text1"/>
              <w:bottom w:val="single" w:sz="12" w:space="0" w:color="165788" w:themeColor="text1"/>
              <w:right w:val="single" w:sz="4" w:space="0" w:color="165788" w:themeColor="text1"/>
            </w:tcBorders>
            <w:shd w:val="clear" w:color="auto" w:fill="auto"/>
          </w:tcPr>
          <w:p w14:paraId="44730DF5" w14:textId="77777777" w:rsidR="002B54C0" w:rsidRPr="00BD3A90" w:rsidRDefault="002B54C0" w:rsidP="002B54C0">
            <w:pPr>
              <w:pStyle w:val="PPtext"/>
              <w:spacing w:before="0"/>
              <w:jc w:val="center"/>
              <w:rPr>
                <w:sz w:val="18"/>
                <w:szCs w:val="18"/>
              </w:rPr>
            </w:pPr>
            <w:r>
              <w:rPr>
                <w:sz w:val="18"/>
                <w:szCs w:val="18"/>
              </w:rPr>
              <w:t>$72.4</w:t>
            </w:r>
          </w:p>
        </w:tc>
        <w:tc>
          <w:tcPr>
            <w:tcW w:w="792" w:type="dxa"/>
            <w:tcBorders>
              <w:top w:val="nil"/>
              <w:left w:val="single" w:sz="4" w:space="0" w:color="165788" w:themeColor="text1"/>
              <w:bottom w:val="single" w:sz="12" w:space="0" w:color="165788" w:themeColor="text1"/>
              <w:right w:val="single" w:sz="4" w:space="0" w:color="165788" w:themeColor="text1"/>
            </w:tcBorders>
            <w:shd w:val="clear" w:color="auto" w:fill="auto"/>
          </w:tcPr>
          <w:p w14:paraId="0CEB51B7" w14:textId="77777777" w:rsidR="002B54C0" w:rsidRPr="00BD3A90" w:rsidRDefault="002B54C0" w:rsidP="002B54C0">
            <w:pPr>
              <w:pStyle w:val="PPtext"/>
              <w:spacing w:before="0"/>
              <w:ind w:right="173"/>
              <w:jc w:val="right"/>
              <w:rPr>
                <w:sz w:val="18"/>
                <w:szCs w:val="18"/>
              </w:rPr>
            </w:pPr>
            <w:r>
              <w:rPr>
                <w:sz w:val="18"/>
                <w:szCs w:val="18"/>
              </w:rPr>
              <w:t>$0.0</w:t>
            </w:r>
          </w:p>
        </w:tc>
        <w:tc>
          <w:tcPr>
            <w:tcW w:w="720" w:type="dxa"/>
            <w:tcBorders>
              <w:top w:val="nil"/>
              <w:left w:val="single" w:sz="4" w:space="0" w:color="165788" w:themeColor="text1"/>
              <w:bottom w:val="single" w:sz="12" w:space="0" w:color="165788" w:themeColor="text1"/>
              <w:right w:val="single" w:sz="4" w:space="0" w:color="165788" w:themeColor="text1"/>
            </w:tcBorders>
            <w:shd w:val="clear" w:color="auto" w:fill="auto"/>
          </w:tcPr>
          <w:p w14:paraId="3AAA8790" w14:textId="77777777" w:rsidR="002B54C0" w:rsidRPr="00BD3A90" w:rsidRDefault="002B54C0" w:rsidP="002B54C0">
            <w:pPr>
              <w:pStyle w:val="PPtext"/>
              <w:spacing w:before="0"/>
              <w:jc w:val="center"/>
              <w:rPr>
                <w:sz w:val="18"/>
                <w:szCs w:val="18"/>
              </w:rPr>
            </w:pPr>
            <w:r>
              <w:rPr>
                <w:sz w:val="18"/>
                <w:szCs w:val="18"/>
              </w:rPr>
              <w:t>$78.4</w:t>
            </w:r>
          </w:p>
        </w:tc>
        <w:tc>
          <w:tcPr>
            <w:tcW w:w="720" w:type="dxa"/>
            <w:tcBorders>
              <w:top w:val="nil"/>
              <w:left w:val="single" w:sz="4" w:space="0" w:color="165788" w:themeColor="text1"/>
              <w:bottom w:val="single" w:sz="12" w:space="0" w:color="165788" w:themeColor="text1"/>
            </w:tcBorders>
            <w:shd w:val="clear" w:color="auto" w:fill="auto"/>
          </w:tcPr>
          <w:p w14:paraId="3B1F6DFD" w14:textId="77777777" w:rsidR="002B54C0" w:rsidRPr="00AC76E7" w:rsidRDefault="002B54C0" w:rsidP="002B54C0">
            <w:pPr>
              <w:pStyle w:val="PPtext"/>
              <w:spacing w:before="0"/>
              <w:jc w:val="center"/>
              <w:rPr>
                <w:sz w:val="18"/>
                <w:szCs w:val="18"/>
              </w:rPr>
            </w:pPr>
            <w:r>
              <w:rPr>
                <w:sz w:val="18"/>
                <w:szCs w:val="18"/>
              </w:rPr>
              <w:t>$85.4</w:t>
            </w:r>
          </w:p>
        </w:tc>
        <w:tc>
          <w:tcPr>
            <w:tcW w:w="792" w:type="dxa"/>
            <w:tcBorders>
              <w:top w:val="nil"/>
              <w:left w:val="single" w:sz="4" w:space="0" w:color="165788" w:themeColor="text1"/>
              <w:bottom w:val="single" w:sz="12" w:space="0" w:color="165788" w:themeColor="text1"/>
            </w:tcBorders>
            <w:shd w:val="clear" w:color="auto" w:fill="auto"/>
          </w:tcPr>
          <w:p w14:paraId="3FCB521C" w14:textId="77777777" w:rsidR="002B54C0" w:rsidRPr="003C1B98" w:rsidRDefault="002B54C0" w:rsidP="002B54C0">
            <w:pPr>
              <w:pStyle w:val="PPtext"/>
              <w:spacing w:before="0"/>
              <w:jc w:val="center"/>
              <w:rPr>
                <w:color w:val="FF0000"/>
                <w:sz w:val="18"/>
                <w:szCs w:val="18"/>
              </w:rPr>
            </w:pPr>
            <w:r w:rsidRPr="003C1B98">
              <w:rPr>
                <w:color w:val="FF0000"/>
                <w:sz w:val="18"/>
                <w:szCs w:val="18"/>
              </w:rPr>
              <w:t>$-</w:t>
            </w:r>
            <w:r>
              <w:rPr>
                <w:color w:val="FF0000"/>
                <w:sz w:val="18"/>
                <w:szCs w:val="18"/>
              </w:rPr>
              <w:t>6</w:t>
            </w:r>
            <w:r w:rsidRPr="003C1B98">
              <w:rPr>
                <w:color w:val="FF0000"/>
                <w:sz w:val="18"/>
                <w:szCs w:val="18"/>
              </w:rPr>
              <w:t>.5</w:t>
            </w:r>
          </w:p>
        </w:tc>
      </w:tr>
    </w:tbl>
    <w:p w14:paraId="4456CAEB" w14:textId="77777777" w:rsidR="00031591" w:rsidRDefault="00031591" w:rsidP="00031591">
      <w:pPr>
        <w:pStyle w:val="PPtext"/>
      </w:pPr>
      <w:r>
        <w:t>Although it’s not stated, readers can readily surmise that the unexplained assumptions underlying the numbers were likely designed to provide sharp contrast, yielding numbers absent The Plan’s initiatives, and after their implementation, that are the least and most positive, respectively.</w:t>
      </w:r>
    </w:p>
    <w:p w14:paraId="68919FB5" w14:textId="43777883" w:rsidR="00031591" w:rsidRDefault="00031591" w:rsidP="002B54C0">
      <w:pPr>
        <w:pStyle w:val="PPtext"/>
      </w:pPr>
      <w:r>
        <w:t xml:space="preserve">Concurrently, the USPS has issued an </w:t>
      </w:r>
      <w:r>
        <w:rPr>
          <w:i/>
          <w:iCs/>
        </w:rPr>
        <w:t>Integrated Financial Plan</w:t>
      </w:r>
      <w:r>
        <w:t xml:space="preserve"> annually to separately present projected revenue, expenses, and end-of-year results.  As shown </w:t>
      </w:r>
      <w:r w:rsidR="007C24B5">
        <w:t>in the charts</w:t>
      </w:r>
      <w:r>
        <w:t xml:space="preserve">, the annual projections of results as The Plan </w:t>
      </w:r>
      <w:proofErr w:type="gramStart"/>
      <w:r>
        <w:t>is</w:t>
      </w:r>
      <w:proofErr w:type="gramEnd"/>
      <w:r>
        <w:t xml:space="preserve"> being implemented vary from what the agency had at first forecast.</w:t>
      </w:r>
      <w:r w:rsidR="002B54C0">
        <w:t xml:space="preserve">  </w:t>
      </w:r>
      <w:r>
        <w:t>History later revealed how close (or apart) any of the projections were to actual results.</w:t>
      </w:r>
    </w:p>
    <w:p w14:paraId="2FD5A74C" w14:textId="77777777" w:rsidR="00031591" w:rsidRDefault="00031591" w:rsidP="00031591">
      <w:pPr>
        <w:pStyle w:val="PPtext"/>
      </w:pPr>
      <w:r>
        <w:t xml:space="preserve">The Postal Service would offer its customary reasons to explain these variances, such as unforeseen electronic diversion, inflation, competition, and external factors such as the workers’ compensation liability and imposed costs.  However, such factors aren’t new, and have been present in the economic environment since well before issuance </w:t>
      </w:r>
      <w:r>
        <w:lastRenderedPageBreak/>
        <w:t>of The Plan.  Why they seemed so poorly estimated is unknown.</w:t>
      </w:r>
    </w:p>
    <w:p w14:paraId="608914B2" w14:textId="2D688EA8" w:rsidR="00031591" w:rsidRDefault="00031591" w:rsidP="00031591">
      <w:pPr>
        <w:pStyle w:val="PPtext"/>
      </w:pPr>
      <w:r>
        <w:t xml:space="preserve">Absent public disclosure of how the agency developed the estimates in The Plan, there can be no objective evaluation of how reliable the bases of those projections might have been; the same could be said for its annual </w:t>
      </w:r>
      <w:r>
        <w:rPr>
          <w:i/>
          <w:iCs/>
        </w:rPr>
        <w:t>IFP</w:t>
      </w:r>
      <w:r>
        <w:t xml:space="preserve"> numbers.</w:t>
      </w:r>
      <w:r w:rsidR="00E52A06">
        <w:t xml:space="preserve">  </w:t>
      </w:r>
      <w:r w:rsidR="00E52A06" w:rsidRPr="00E52A06">
        <w:t xml:space="preserve">Projections are, by definition, educated guesses but, looking at how divergent the various USPS projections are with both each other and </w:t>
      </w:r>
      <w:proofErr w:type="gramStart"/>
      <w:r w:rsidR="00E52A06" w:rsidRPr="00E52A06">
        <w:t>final results</w:t>
      </w:r>
      <w:proofErr w:type="gramEnd"/>
      <w:r w:rsidR="00E52A06" w:rsidRPr="00E52A06">
        <w:t>, many observers are questioning whether the doomsday 2030 forecast presented in The Plan, and used as the justification for its initiatives, is itself still realistic.  Observers further note that, if The Plan is off in its projections by a significant amount, the value of the initiatives in The Plan, like its assumptions of revenue and expense, also may be, and should be reconsidered accordingly.</w:t>
      </w:r>
    </w:p>
    <w:p w14:paraId="565F391B" w14:textId="642C894C" w:rsidR="002B54C0" w:rsidRDefault="002B54C0" w:rsidP="00031591">
      <w:pPr>
        <w:pStyle w:val="PPtext"/>
      </w:pPr>
      <w:r w:rsidRPr="002B54C0">
        <w:t xml:space="preserve">Of course, providing a realistic picture – of service, financials, or anything – does not support the PMG’s narrative.  Controlling the </w:t>
      </w:r>
      <w:proofErr w:type="gramStart"/>
      <w:r w:rsidRPr="002B54C0">
        <w:t>message, and</w:t>
      </w:r>
      <w:proofErr w:type="gramEnd"/>
      <w:r w:rsidRPr="002B54C0">
        <w:t xml:space="preserve"> using selected facts (and excuses) to bolster his now-familiar assertions (and explanations) are core to </w:t>
      </w:r>
      <w:proofErr w:type="spellStart"/>
      <w:r w:rsidRPr="002B54C0">
        <w:t>DeJoy’s</w:t>
      </w:r>
      <w:proofErr w:type="spellEnd"/>
      <w:r w:rsidRPr="002B54C0">
        <w:t xml:space="preserve"> opaque prosecution of his agenda.  Because recalculating the financial bases for his Plan might not yield the results he’d prefer, it’s unlikely any reassessment will occur, so the validity of his $160 billion estimate and the actions he’s based on it all will remain untested.</w:t>
      </w:r>
    </w:p>
    <w:p w14:paraId="7E5C3CD2" w14:textId="7EB666DB" w:rsidR="00B452B6" w:rsidRPr="00783A73" w:rsidRDefault="0027300D" w:rsidP="00A612EB">
      <w:pPr>
        <w:pStyle w:val="PPSub"/>
        <w:autoSpaceDE/>
        <w:autoSpaceDN/>
        <w:adjustRightInd/>
        <w:spacing w:before="120"/>
        <w:jc w:val="left"/>
      </w:pPr>
      <w:r w:rsidRPr="0027300D">
        <w:t>PRC Approves Market-Dominant NSA</w:t>
      </w:r>
    </w:p>
    <w:p w14:paraId="23849447" w14:textId="77777777" w:rsidR="00AB3EF9" w:rsidRDefault="00AB3EF9" w:rsidP="00AB3EF9">
      <w:pPr>
        <w:pStyle w:val="PPtext"/>
        <w:spacing w:before="60"/>
      </w:pPr>
      <w:r>
        <w:t xml:space="preserve">In a 41-page order issued November 22, the Postal Regulatory Commission </w:t>
      </w:r>
      <w:r>
        <w:rPr>
          <w:i/>
          <w:iCs/>
        </w:rPr>
        <w:t>provisionally</w:t>
      </w:r>
      <w:r>
        <w:t xml:space="preserve"> approved a Negotiated Service Agreement between the Postal Service and Publishers Clearing House.  While the PRC approves NSAs for competitive products almost routinely, the agreement with PCH is the first for a market-dominant product in several years.</w:t>
      </w:r>
    </w:p>
    <w:p w14:paraId="2439B4ED" w14:textId="460ED4C4" w:rsidR="00AB3EF9" w:rsidRDefault="00AB3EF9" w:rsidP="00AB3EF9">
      <w:pPr>
        <w:pStyle w:val="PPtext"/>
        <w:spacing w:before="60"/>
      </w:pPr>
      <w:r>
        <w:t>The USPS had filed for the agreement on August 11, stating that it will “</w:t>
      </w:r>
      <w:r w:rsidRPr="000D2AF8">
        <w:t>will improve its net financial position and will not cause unreasonable harm to the marketplace.</w:t>
      </w:r>
      <w:r>
        <w:t>”</w:t>
      </w:r>
      <w:r w:rsidRPr="000D2AF8">
        <w:t xml:space="preserve"> </w:t>
      </w:r>
      <w:r>
        <w:t>The agency also stated that it “</w:t>
      </w:r>
      <w:r w:rsidRPr="000D2AF8">
        <w:t>will negotiate and implement functionally equivalent agreements with similarly situated mailers.</w:t>
      </w:r>
      <w:r>
        <w:t>”</w:t>
      </w:r>
    </w:p>
    <w:p w14:paraId="057E66BF" w14:textId="23F53D5F" w:rsidR="005405B1" w:rsidRDefault="00DA3843" w:rsidP="005405B1">
      <w:pPr>
        <w:pStyle w:val="PPtext"/>
        <w:spacing w:before="60"/>
      </w:pPr>
      <w:r w:rsidRPr="00DA3843">
        <w:t>The commission expressed concerns about the lack of an “analytical principle,” i.e., a basis for evaluating the financial benefit expected from the incentive.  As in previous market-dominant NSA proposals, the PRC also had serious concerns about the wisdom (and benefit) of offering a discount for “anyhow” mail, i.e., mail that, arguably, would have been mailed without an incentive.</w:t>
      </w:r>
    </w:p>
    <w:p w14:paraId="17D70632" w14:textId="3279937F" w:rsidR="00685466" w:rsidRDefault="00882B63" w:rsidP="006A69C0">
      <w:pPr>
        <w:pStyle w:val="PPquote"/>
        <w:ind w:right="0"/>
      </w:pPr>
      <w:r>
        <w:t>“</w:t>
      </w:r>
      <w:r w:rsidRPr="00BA1F4E">
        <w:t xml:space="preserve">While the Commission is concerned about the lack of critical analysis from the Postal Service on the veracity of PCH statements regarding volume it would not mail absent a discount, </w:t>
      </w:r>
      <w:r w:rsidRPr="00BA1F4E">
        <w:rPr>
          <w:shd w:val="clear" w:color="auto" w:fill="F5E9CC" w:themeFill="background2" w:themeFillTint="33"/>
        </w:rPr>
        <w:t xml:space="preserve">the PCH NSA constitutes a novel NSA structure with several factors </w:t>
      </w:r>
      <w:proofErr w:type="spellStart"/>
      <w:r w:rsidRPr="00BA1F4E">
        <w:rPr>
          <w:shd w:val="clear" w:color="auto" w:fill="F5E9CC" w:themeFill="background2" w:themeFillTint="33"/>
        </w:rPr>
        <w:t>tha</w:t>
      </w:r>
      <w:proofErr w:type="spellEnd"/>
      <w:r w:rsidR="00685466">
        <w:rPr>
          <w:shd w:val="clear" w:color="auto" w:fill="F5E9CC" w:themeFill="background2" w:themeFillTint="33"/>
        </w:rPr>
        <w:t xml:space="preserve"> </w:t>
      </w:r>
      <w:proofErr w:type="spellStart"/>
      <w:r w:rsidRPr="00BA1F4E">
        <w:rPr>
          <w:shd w:val="clear" w:color="auto" w:fill="F5E9CC" w:themeFill="background2" w:themeFillTint="33"/>
        </w:rPr>
        <w:t>thelp</w:t>
      </w:r>
      <w:proofErr w:type="spellEnd"/>
      <w:r w:rsidRPr="00BA1F4E">
        <w:rPr>
          <w:shd w:val="clear" w:color="auto" w:fill="F5E9CC" w:themeFill="background2" w:themeFillTint="33"/>
        </w:rPr>
        <w:t xml:space="preserve"> to allay the Commission’s concerns regarding the financial results</w:t>
      </w:r>
      <w:r w:rsidRPr="00BA1F4E">
        <w:t xml:space="preserve"> of the PCH NSA.</w:t>
      </w:r>
      <w:r>
        <w:t xml:space="preserve"> ... </w:t>
      </w:r>
      <w:r w:rsidRPr="00441614">
        <w:t xml:space="preserve">Considered in the totality, these factors lead the Commission to conclude that </w:t>
      </w:r>
      <w:r w:rsidRPr="00441614">
        <w:rPr>
          <w:shd w:val="clear" w:color="auto" w:fill="F5E9CC" w:themeFill="background2" w:themeFillTint="33"/>
        </w:rPr>
        <w:t>the risk that the PCH NSA will result in lower contribution than would occur in its absence is minimized</w:t>
      </w:r>
      <w:r w:rsidRPr="00441614">
        <w:t xml:space="preserve">. </w:t>
      </w:r>
      <w:r>
        <w:t xml:space="preserve"> </w:t>
      </w:r>
      <w:r w:rsidRPr="00441614">
        <w:t>Moreover,</w:t>
      </w:r>
      <w:r w:rsidR="00685466">
        <w:t xml:space="preserve"> </w:t>
      </w:r>
      <w:r w:rsidR="00685466" w:rsidRPr="00441614">
        <w:t xml:space="preserve">given its small scale, </w:t>
      </w:r>
      <w:r w:rsidR="00685466" w:rsidRPr="00441614">
        <w:rPr>
          <w:shd w:val="clear" w:color="auto" w:fill="F5E9CC" w:themeFill="background2" w:themeFillTint="33"/>
        </w:rPr>
        <w:t>the PCH NSA has the potential to serve as a useful experiment</w:t>
      </w:r>
      <w:r w:rsidR="00685466" w:rsidRPr="00441614">
        <w:t>, offering the Postal Service the opportunity to pilot a novel NSA structure with minimal financial risk, and providing both the Postal Service and the Commission with valuable data and experience that will be useful in developing an accepted analytical principle to be applied to future NSAs structured like the PCH NSA.</w:t>
      </w:r>
      <w:r w:rsidR="00685466">
        <w:t xml:space="preserve"> </w:t>
      </w:r>
      <w:r w:rsidR="00685466" w:rsidRPr="00441614">
        <w:t xml:space="preserve"> For these reasons, </w:t>
      </w:r>
      <w:r w:rsidR="00685466" w:rsidRPr="00441614">
        <w:rPr>
          <w:shd w:val="clear" w:color="auto" w:fill="F5E9CC" w:themeFill="background2" w:themeFillTint="33"/>
        </w:rPr>
        <w:t>the Commission finds the PCH NSA to constitute an acceptable financial risk</w:t>
      </w:r>
      <w:r w:rsidR="00685466" w:rsidRPr="00441614">
        <w:t>.</w:t>
      </w:r>
      <w:r w:rsidR="00685466">
        <w:t xml:space="preserve"> ...”</w:t>
      </w:r>
    </w:p>
    <w:p w14:paraId="15B2D33D" w14:textId="446A1FB6" w:rsidR="005405B1" w:rsidRDefault="00685466" w:rsidP="00685466">
      <w:pPr>
        <w:pStyle w:val="PPtext"/>
        <w:spacing w:before="50"/>
      </w:pPr>
      <w:r>
        <w:t>The full text of the PRC’s order is available from the November 22 daily listing at www.prc.gov.</w:t>
      </w:r>
    </w:p>
    <w:p w14:paraId="3F5B8811" w14:textId="1E2CE9CB" w:rsidR="00BD5413" w:rsidRDefault="006E4521" w:rsidP="004011B5">
      <w:pPr>
        <w:pStyle w:val="PPSub"/>
      </w:pPr>
      <w:r w:rsidRPr="006E4521">
        <w:t>Questions Seek Details About “Optimized Collection</w:t>
      </w:r>
      <w:r w:rsidR="00823C18">
        <w:t>s</w:t>
      </w:r>
      <w:r w:rsidRPr="006E4521">
        <w:t>”</w:t>
      </w:r>
    </w:p>
    <w:p w14:paraId="3DEABB47" w14:textId="1D52D451" w:rsidR="0037492E" w:rsidRDefault="00A94400" w:rsidP="0037492E">
      <w:pPr>
        <w:pStyle w:val="PPtext"/>
      </w:pPr>
      <w:r>
        <w:t>More information has started to emerge about the Postal Service’s “Optimized Collections” initiative.</w:t>
      </w:r>
    </w:p>
    <w:p w14:paraId="43108987" w14:textId="148575A5" w:rsidR="0037492E" w:rsidRPr="00C26BC5" w:rsidRDefault="0037492E" w:rsidP="0037492E">
      <w:pPr>
        <w:pStyle w:val="PPtext"/>
      </w:pPr>
      <w:r>
        <w:t>Under the</w:t>
      </w:r>
      <w:r w:rsidRPr="005141E0">
        <w:t xml:space="preserve"> initiative</w:t>
      </w:r>
      <w:r>
        <w:t xml:space="preserve">, </w:t>
      </w:r>
      <w:r w:rsidRPr="005141E0">
        <w:t>a single morning “milk run” to non-spoke post</w:t>
      </w:r>
      <w:r>
        <w:t xml:space="preserve"> </w:t>
      </w:r>
      <w:r w:rsidRPr="00C26BC5">
        <w:t>offices</w:t>
      </w:r>
      <w:r>
        <w:t xml:space="preserve"> (i.e., those whose carriers were not consolidated into a sorting and delivery center)</w:t>
      </w:r>
      <w:r w:rsidRPr="00C26BC5">
        <w:t xml:space="preserve"> both drop</w:t>
      </w:r>
      <w:r>
        <w:t>s</w:t>
      </w:r>
      <w:r w:rsidRPr="00C26BC5">
        <w:t xml:space="preserve"> off </w:t>
      </w:r>
      <w:r>
        <w:t xml:space="preserve">that day’s </w:t>
      </w:r>
      <w:r w:rsidRPr="00C26BC5">
        <w:t>mail for delivery and pick</w:t>
      </w:r>
      <w:r>
        <w:t xml:space="preserve">s </w:t>
      </w:r>
      <w:r w:rsidRPr="00C26BC5">
        <w:t xml:space="preserve">up outgoing collection mail – but that would be the </w:t>
      </w:r>
      <w:r w:rsidRPr="00C26BC5">
        <w:rPr>
          <w:i/>
          <w:iCs/>
        </w:rPr>
        <w:t>previous day’s</w:t>
      </w:r>
      <w:r w:rsidRPr="00C26BC5">
        <w:t xml:space="preserve"> collection mail.  There would be no longer be </w:t>
      </w:r>
      <w:r>
        <w:t xml:space="preserve">an </w:t>
      </w:r>
      <w:r w:rsidRPr="00C26BC5">
        <w:t xml:space="preserve">afternoon </w:t>
      </w:r>
      <w:r>
        <w:t>trip to drop mail processed at the plant that day and return with collection mail from the “spoke” office</w:t>
      </w:r>
      <w:r w:rsidRPr="00C26BC5">
        <w:t>.</w:t>
      </w:r>
    </w:p>
    <w:p w14:paraId="6C78CE1E" w14:textId="77777777" w:rsidR="0037492E" w:rsidRDefault="0037492E" w:rsidP="0037492E">
      <w:pPr>
        <w:pStyle w:val="PPtext"/>
      </w:pPr>
      <w:r w:rsidRPr="00C26BC5">
        <w:t>Though this system would presume to “optimize” the efficiency of transportation, it would do so at the expense of service to the impacted customers.  However, because there apparently</w:t>
      </w:r>
      <w:r w:rsidRPr="00C26BC5">
        <w:rPr>
          <w:i/>
          <w:iCs/>
        </w:rPr>
        <w:t xml:space="preserve"> would be</w:t>
      </w:r>
      <w:r w:rsidRPr="00C26BC5">
        <w:t xml:space="preserve"> an afternoon trip from the S&amp;DC to the local processing facility, the obvious consequent difference would be that a retail customer’s mail would reach the local plant a day earlier if that customer were served by an S&amp;DC spoke office, compared to someone served by a non-spoke office getting only “milk run” transportation.</w:t>
      </w:r>
    </w:p>
    <w:p w14:paraId="71883913" w14:textId="77777777" w:rsidR="0037492E" w:rsidRDefault="0037492E" w:rsidP="0037492E">
      <w:pPr>
        <w:pStyle w:val="PPtext"/>
      </w:pPr>
      <w:r w:rsidRPr="002D5CFC">
        <w:t>The disparate service for retail and collection mail from spoke vs non-spoke offices that would appear to be a result of the “optimization” plan obviously disserves customers from the latter group.</w:t>
      </w:r>
    </w:p>
    <w:p w14:paraId="56E2CCF0" w14:textId="67A53027" w:rsidR="008C4046" w:rsidRDefault="0037492E" w:rsidP="008C719F">
      <w:pPr>
        <w:pStyle w:val="PPtext"/>
      </w:pPr>
      <w:r>
        <w:t>The disclosure of the new initiative began a flurry of concern among mailer groups</w:t>
      </w:r>
      <w:r w:rsidR="009B2E7F">
        <w:t xml:space="preserve"> and </w:t>
      </w:r>
      <w:r>
        <w:t>the Postal Regulatory Commission.</w:t>
      </w:r>
      <w:r w:rsidR="008C719F">
        <w:t xml:space="preserve">  </w:t>
      </w:r>
      <w:r w:rsidR="00A07F3B">
        <w:t>Reflecting its concerns</w:t>
      </w:r>
      <w:r w:rsidR="00CE38A7" w:rsidRPr="00CE38A7">
        <w:t xml:space="preserve">, the PRC issued a Chairman’s Information Request </w:t>
      </w:r>
      <w:r w:rsidR="00705608">
        <w:t xml:space="preserve">on November 22, seeking </w:t>
      </w:r>
      <w:r w:rsidR="00CE38A7" w:rsidRPr="00CE38A7">
        <w:t xml:space="preserve">responses from the USPS by December 4 to </w:t>
      </w:r>
      <w:r w:rsidR="00705608">
        <w:t>twelve multi-part</w:t>
      </w:r>
      <w:r w:rsidR="00CE38A7" w:rsidRPr="00CE38A7">
        <w:t xml:space="preserve"> questions</w:t>
      </w:r>
      <w:r w:rsidR="00656D6B">
        <w:t>.</w:t>
      </w:r>
      <w:r w:rsidR="008C719F">
        <w:t xml:space="preserve">  Among the answers submitted by the Postal Service:</w:t>
      </w:r>
    </w:p>
    <w:p w14:paraId="27112048" w14:textId="6D5363C1" w:rsidR="00D74131" w:rsidRDefault="009B2E7F" w:rsidP="00D74131">
      <w:pPr>
        <w:pStyle w:val="PPtext"/>
        <w:spacing w:before="60"/>
      </w:pPr>
      <w:r>
        <w:t>Detail</w:t>
      </w:r>
      <w:r w:rsidR="00421132" w:rsidRPr="00421132">
        <w:t>s about the “facilities affected by the Optimized Collections Plan”; “collection pick-up times at each facility listed ... before and after</w:t>
      </w:r>
      <w:r w:rsidR="00D74131">
        <w:t xml:space="preserve"> </w:t>
      </w:r>
      <w:r w:rsidR="00D74131" w:rsidRPr="00354AFF">
        <w:t>implementation of the Optimized Collections Plan</w:t>
      </w:r>
      <w:r w:rsidR="00D74131">
        <w:t>”; and the “i</w:t>
      </w:r>
      <w:r w:rsidR="00D74131" w:rsidRPr="00354AFF">
        <w:t xml:space="preserve">mpact on transportation of </w:t>
      </w:r>
      <w:r w:rsidR="00D74131" w:rsidRPr="00354AFF">
        <w:lastRenderedPageBreak/>
        <w:t>mail between processing centers and post offices</w:t>
      </w:r>
      <w:r w:rsidR="00D74131">
        <w:t>” were not made public.</w:t>
      </w:r>
    </w:p>
    <w:p w14:paraId="57102E6A" w14:textId="77777777" w:rsidR="00D74131" w:rsidRDefault="00D74131" w:rsidP="00D74131">
      <w:pPr>
        <w:pStyle w:val="PPtext"/>
        <w:spacing w:before="40"/>
      </w:pPr>
      <w:proofErr w:type="gramStart"/>
      <w:r>
        <w:t>In regard to</w:t>
      </w:r>
      <w:proofErr w:type="gramEnd"/>
      <w:r>
        <w:t xml:space="preserve"> how delivery units are assigned to the plan’s reduced collection schedule, the USPS stated:</w:t>
      </w:r>
    </w:p>
    <w:p w14:paraId="22D1848E" w14:textId="5517BAA7" w:rsidR="00D74131" w:rsidRPr="002976A6" w:rsidRDefault="00D74131" w:rsidP="00D74131">
      <w:pPr>
        <w:pStyle w:val="PPquote"/>
        <w:spacing w:before="40"/>
        <w:ind w:right="0"/>
      </w:pPr>
      <w:r>
        <w:t xml:space="preserve">“... </w:t>
      </w:r>
      <w:r w:rsidRPr="0060291C">
        <w:t xml:space="preserve">First, if the Postal Service chooses to implement Optimized Collections within a particular geographic area, </w:t>
      </w:r>
      <w:r w:rsidRPr="002976A6">
        <w:rPr>
          <w:shd w:val="clear" w:color="auto" w:fill="F5E9CC" w:themeFill="background2" w:themeFillTint="33"/>
        </w:rPr>
        <w:t>only those locations that are more than 50 miles from the relevant processing plant</w:t>
      </w:r>
      <w:r w:rsidRPr="0060291C">
        <w:t xml:space="preserve"> </w:t>
      </w:r>
      <w:r w:rsidR="00E55BC0">
        <w:t>...</w:t>
      </w:r>
      <w:r w:rsidRPr="0060291C">
        <w:t xml:space="preserve"> will be analyzed to determine whether implementation of Optimized Collections at that location is appropriate. </w:t>
      </w:r>
      <w:r>
        <w:t xml:space="preserve"> </w:t>
      </w:r>
      <w:r w:rsidRPr="0060291C">
        <w:t>Locations that are within 50 miles of the processing facility, and which therefore require shorter routes to pick-up and drop-off</w:t>
      </w:r>
      <w:r>
        <w:t xml:space="preserve"> </w:t>
      </w:r>
      <w:r w:rsidRPr="002976A6">
        <w:t xml:space="preserve">the mail and packages, will </w:t>
      </w:r>
      <w:r w:rsidRPr="00E75A4E">
        <w:rPr>
          <w:shd w:val="clear" w:color="auto" w:fill="F5E9CC" w:themeFill="background2" w:themeFillTint="33"/>
        </w:rPr>
        <w:t>continue to receive separate afternoon pick-up transportation</w:t>
      </w:r>
      <w:r w:rsidRPr="002976A6">
        <w:t>.</w:t>
      </w:r>
      <w:r>
        <w:t xml:space="preserve"> ..</w:t>
      </w:r>
      <w:r w:rsidRPr="002976A6">
        <w:t>.</w:t>
      </w:r>
    </w:p>
    <w:p w14:paraId="5AD71294" w14:textId="77777777" w:rsidR="00D74131" w:rsidRPr="002976A6" w:rsidRDefault="00D74131" w:rsidP="00D74131">
      <w:pPr>
        <w:pStyle w:val="PPquote"/>
        <w:spacing w:before="40"/>
        <w:ind w:right="0"/>
      </w:pPr>
      <w:r>
        <w:t>“</w:t>
      </w:r>
      <w:r w:rsidRPr="002976A6">
        <w:t xml:space="preserve">Second, for that subset of locations within a particular geographic area in which Optimized Collections is being applied, the Postal Service then determines whether to implement optimization for a particular location, and in what manner. </w:t>
      </w:r>
      <w:r>
        <w:t xml:space="preserve"> </w:t>
      </w:r>
      <w:r w:rsidRPr="002976A6">
        <w:t>This determination is generally based on volume.</w:t>
      </w:r>
      <w:r>
        <w:t xml:space="preserve"> </w:t>
      </w:r>
      <w:r w:rsidRPr="002976A6">
        <w:t xml:space="preserve"> </w:t>
      </w:r>
      <w:r w:rsidRPr="002976A6">
        <w:rPr>
          <w:shd w:val="clear" w:color="auto" w:fill="F5E9CC" w:themeFill="background2" w:themeFillTint="33"/>
        </w:rPr>
        <w:t>Locations with lower volume (1 container of originating volume per day on average) are generally subject to “Full Optimization,”</w:t>
      </w:r>
      <w:r w:rsidRPr="002976A6">
        <w:t xml:space="preserve"> in which the pick-up and drop-off occurs at the same stop on a route; this serves to reduce both the number of trips, and the number of stops.</w:t>
      </w:r>
      <w:r>
        <w:t xml:space="preserve"> </w:t>
      </w:r>
      <w:r w:rsidRPr="002976A6">
        <w:t xml:space="preserve"> </w:t>
      </w:r>
      <w:r w:rsidRPr="002976A6">
        <w:rPr>
          <w:shd w:val="clear" w:color="auto" w:fill="F5E9CC" w:themeFill="background2" w:themeFillTint="33"/>
        </w:rPr>
        <w:t>Locations with higher volume (more than 1 container of originating volume per day on average) are generally subject to “Hybrid Optimization,”</w:t>
      </w:r>
      <w:r w:rsidRPr="002976A6">
        <w:t xml:space="preserve"> in which the truck first drops off the destinating volume at all locations on the route on the outgoing leg of the trip, and then proceeds to pick up the originating volume at locations in line of travel of the return leg; this serves to reduce the number of trips.</w:t>
      </w:r>
    </w:p>
    <w:p w14:paraId="07F08D30" w14:textId="77777777" w:rsidR="00D74131" w:rsidRPr="00354AFF" w:rsidRDefault="00D74131" w:rsidP="00D74131">
      <w:pPr>
        <w:pStyle w:val="PPquote"/>
        <w:spacing w:before="40"/>
        <w:ind w:right="0"/>
      </w:pPr>
      <w:r>
        <w:t>“</w:t>
      </w:r>
      <w:r w:rsidRPr="002976A6">
        <w:t xml:space="preserve">The Postal Service </w:t>
      </w:r>
      <w:r w:rsidRPr="004A7913">
        <w:rPr>
          <w:shd w:val="clear" w:color="auto" w:fill="F5E9CC" w:themeFill="background2" w:themeFillTint="33"/>
        </w:rPr>
        <w:t>may also choose to exempt locations from optimization entirely</w:t>
      </w:r>
      <w:r w:rsidRPr="002976A6">
        <w:t xml:space="preserve"> even if they are more than 50 miles from </w:t>
      </w:r>
      <w:proofErr w:type="gramStart"/>
      <w:r w:rsidRPr="002976A6">
        <w:t>a</w:t>
      </w:r>
      <w:proofErr w:type="gramEnd"/>
      <w:r w:rsidRPr="002976A6">
        <w:t xml:space="preserve"> LPC, based on operational and other</w:t>
      </w:r>
      <w:r>
        <w:t xml:space="preserve"> </w:t>
      </w:r>
      <w:r w:rsidRPr="004A7913">
        <w:t xml:space="preserve">considerations such as volume. </w:t>
      </w:r>
      <w:r>
        <w:t xml:space="preserve"> </w:t>
      </w:r>
      <w:r w:rsidRPr="004A7913">
        <w:t xml:space="preserve">The Postal Service exempts a location if it has a large amount of volume (7 or more containers of originating volume per day). </w:t>
      </w:r>
      <w:r>
        <w:t xml:space="preserve"> </w:t>
      </w:r>
      <w:r w:rsidRPr="004A7913">
        <w:t>If a location is exempted, afternoon collection trips will continue to occur</w:t>
      </w:r>
      <w:r>
        <w:t xml:space="preserve">. </w:t>
      </w:r>
      <w:r w:rsidRPr="004A7913">
        <w:t>.</w:t>
      </w:r>
      <w:r>
        <w:t>..”</w:t>
      </w:r>
    </w:p>
    <w:p w14:paraId="55DD060D" w14:textId="3265209D" w:rsidR="008C4046" w:rsidRDefault="00D74131" w:rsidP="00D74131">
      <w:pPr>
        <w:pStyle w:val="PPtext"/>
        <w:spacing w:before="50" w:line="216" w:lineRule="exact"/>
      </w:pPr>
      <w:r>
        <w:t xml:space="preserve">Many observers had already concluded that the Optimized Collections plan was driven by the Postal Service’s decision to insource transportation now provided by contractors which, in turn, was driven by the need to create positions for unionized employees displaced because of processing plant consolidations.  Contractors can assign drivers as necessary to provide separate morning and afternoon </w:t>
      </w:r>
      <w:proofErr w:type="gramStart"/>
      <w:r>
        <w:t>transportation</w:t>
      </w:r>
      <w:proofErr w:type="gramEnd"/>
      <w:r>
        <w:t xml:space="preserve"> but the contracts of USPS employees guarantee a fixed eight-hour day, so </w:t>
      </w:r>
      <w:r w:rsidRPr="00FF4389">
        <w:rPr>
          <w:i/>
          <w:iCs/>
        </w:rPr>
        <w:t xml:space="preserve">the </w:t>
      </w:r>
      <w:r>
        <w:rPr>
          <w:i/>
          <w:iCs/>
        </w:rPr>
        <w:t>easy</w:t>
      </w:r>
      <w:r w:rsidRPr="00FF4389">
        <w:rPr>
          <w:i/>
          <w:iCs/>
        </w:rPr>
        <w:t xml:space="preserve"> solution was to simply eliminate any trips that could not be served within an eight-hour day</w:t>
      </w:r>
      <w:r>
        <w:t>.</w:t>
      </w:r>
    </w:p>
    <w:p w14:paraId="59FC0E76" w14:textId="77777777" w:rsidR="00E34F23" w:rsidRDefault="00E34F23" w:rsidP="00E34F23">
      <w:pPr>
        <w:pStyle w:val="PPtext"/>
        <w:spacing w:before="40"/>
      </w:pPr>
      <w:r>
        <w:t>When the USPS was asked about cost savings, it avoided a direct answer:</w:t>
      </w:r>
    </w:p>
    <w:p w14:paraId="35C39D49" w14:textId="77777777" w:rsidR="00E34F23" w:rsidRDefault="00E34F23" w:rsidP="00E34F23">
      <w:pPr>
        <w:pStyle w:val="PPquote"/>
        <w:spacing w:before="40"/>
      </w:pPr>
      <w:r>
        <w:t>“..</w:t>
      </w:r>
      <w:r w:rsidRPr="00F10F01">
        <w:t xml:space="preserve">. While the benefits to our transportation costs from taking these actions is clear, </w:t>
      </w:r>
      <w:r w:rsidRPr="0001573B">
        <w:rPr>
          <w:shd w:val="clear" w:color="auto" w:fill="F5E9CC" w:themeFill="background2" w:themeFillTint="33"/>
        </w:rPr>
        <w:t>the Postal Service has not yet prepared comprehensive cost savings estimates</w:t>
      </w:r>
      <w:r w:rsidRPr="00F10F01">
        <w:t xml:space="preserve"> regarding the initiative.</w:t>
      </w:r>
      <w:r>
        <w:t>”</w:t>
      </w:r>
    </w:p>
    <w:p w14:paraId="5C3B3BA1" w14:textId="77777777" w:rsidR="004163E4" w:rsidRDefault="00E34F23" w:rsidP="00E34F23">
      <w:pPr>
        <w:pStyle w:val="PPtext"/>
        <w:spacing w:before="60" w:line="216" w:lineRule="exact"/>
      </w:pPr>
      <w:r>
        <w:t xml:space="preserve">In other words, the USPS is undertaking an initiative </w:t>
      </w:r>
      <w:r>
        <w:rPr>
          <w:i/>
          <w:iCs/>
        </w:rPr>
        <w:t>assuming</w:t>
      </w:r>
      <w:r>
        <w:t xml:space="preserve"> it will yield cost savings but without any objective assessment of whether those will </w:t>
      </w:r>
      <w:proofErr w:type="gramStart"/>
      <w:r>
        <w:t>actually occur</w:t>
      </w:r>
      <w:proofErr w:type="gramEnd"/>
      <w:r>
        <w:t>.  Therefore, as</w:t>
      </w:r>
      <w:r w:rsidR="004163E4">
        <w:t xml:space="preserve"> </w:t>
      </w:r>
      <w:r w:rsidR="004163E4" w:rsidRPr="004163E4">
        <w:t>noted earlier, it appears that Optimized Collections is an initiative taken to enable insourcing of transportation, regardless of reliably defined savings, with declarations of greater “efficiency” and vehicle utilization being equally speculative.</w:t>
      </w:r>
    </w:p>
    <w:p w14:paraId="2EFF7F6E" w14:textId="3F8E090F" w:rsidR="00002E76" w:rsidRDefault="00AE348B" w:rsidP="00AE348B">
      <w:pPr>
        <w:pStyle w:val="PPtext"/>
        <w:spacing w:before="60" w:line="216" w:lineRule="exact"/>
      </w:pPr>
      <w:r>
        <w:t>The Postal Service said that the initiative won’t alter the</w:t>
      </w:r>
      <w:r w:rsidR="00ED4C41" w:rsidRPr="00ED4C41">
        <w:t xml:space="preserve"> “start the clock”</w:t>
      </w:r>
      <w:r w:rsidR="00385EE6">
        <w:t xml:space="preserve"> event, but that’s</w:t>
      </w:r>
      <w:r w:rsidR="00ED4C41" w:rsidRPr="00ED4C41">
        <w:t xml:space="preserve"> misleading.  When the USPS defines “starts the clock” occurs is different from when </w:t>
      </w:r>
      <w:r w:rsidR="00002E76">
        <w:t xml:space="preserve">a customer puts mail in a USPS collection box or post office lobby receptacle.  Logically, if a business day’s collection mail isn’t dispatched until the following day, this doesn’t change the “start the clock” event for the USPS but it </w:t>
      </w:r>
      <w:r w:rsidR="00002E76" w:rsidRPr="00955260">
        <w:rPr>
          <w:i/>
          <w:iCs/>
        </w:rPr>
        <w:t>does</w:t>
      </w:r>
      <w:r w:rsidR="00002E76">
        <w:t xml:space="preserve"> mean a customer’s mail is delayed by a day getting into the processing stream.  Accordingly, the USPS answer reflects satisfaction that its </w:t>
      </w:r>
      <w:r w:rsidR="00002E76" w:rsidRPr="000C0212">
        <w:rPr>
          <w:i/>
          <w:iCs/>
        </w:rPr>
        <w:t xml:space="preserve">service </w:t>
      </w:r>
      <w:r w:rsidR="00002E76">
        <w:rPr>
          <w:i/>
          <w:iCs/>
        </w:rPr>
        <w:t>measurement</w:t>
      </w:r>
      <w:r w:rsidR="00002E76">
        <w:t xml:space="preserve"> won’t be impacted, but also a disinterest in </w:t>
      </w:r>
      <w:r w:rsidR="00002E76">
        <w:rPr>
          <w:i/>
          <w:iCs/>
        </w:rPr>
        <w:t>actual</w:t>
      </w:r>
      <w:r w:rsidR="00002E76" w:rsidRPr="000C0212">
        <w:rPr>
          <w:i/>
          <w:iCs/>
        </w:rPr>
        <w:t xml:space="preserve"> service</w:t>
      </w:r>
      <w:r w:rsidR="00002E76">
        <w:t xml:space="preserve"> to the sender.</w:t>
      </w:r>
    </w:p>
    <w:p w14:paraId="1AC8756E" w14:textId="05459B25" w:rsidR="00002E76" w:rsidRDefault="00385EE6" w:rsidP="00002E76">
      <w:pPr>
        <w:pStyle w:val="PPtext"/>
        <w:spacing w:before="60"/>
      </w:pPr>
      <w:r>
        <w:t>T</w:t>
      </w:r>
      <w:r w:rsidR="00002E76">
        <w:t>he Postal Service</w:t>
      </w:r>
      <w:r>
        <w:t xml:space="preserve"> also claimed a benefit from</w:t>
      </w:r>
      <w:r w:rsidR="00002E76">
        <w:t xml:space="preserve"> “spreading the volume arrival profile</w:t>
      </w:r>
      <w:r w:rsidR="00D42133">
        <w:t>,</w:t>
      </w:r>
      <w:r w:rsidR="00002E76">
        <w:t xml:space="preserve">” </w:t>
      </w:r>
      <w:r w:rsidR="00D42133">
        <w:t>but that seems an afterthought.</w:t>
      </w:r>
      <w:r w:rsidR="00002E76">
        <w:t xml:space="preserve">  For decades, the daily processing cycle has seen volume receipt, processing, and dispatch occur over an approximately twelve-hour overnight period.  To cite “spreading the volume profile” as a planned benefit of Optimized Collections is likely no more than </w:t>
      </w:r>
      <w:r w:rsidR="00002E76" w:rsidRPr="00C51306">
        <w:rPr>
          <w:i/>
          <w:iCs/>
        </w:rPr>
        <w:t>post</w:t>
      </w:r>
      <w:r w:rsidR="00002E76">
        <w:rPr>
          <w:i/>
          <w:iCs/>
        </w:rPr>
        <w:t xml:space="preserve"> </w:t>
      </w:r>
      <w:r w:rsidR="00002E76" w:rsidRPr="00C51306">
        <w:rPr>
          <w:i/>
          <w:iCs/>
        </w:rPr>
        <w:t>hoc</w:t>
      </w:r>
      <w:r w:rsidR="00002E76">
        <w:t xml:space="preserve"> ideation.</w:t>
      </w:r>
    </w:p>
    <w:p w14:paraId="174DC7F8" w14:textId="50DE1045" w:rsidR="00002E76" w:rsidRDefault="00FD5FB2" w:rsidP="00002E76">
      <w:pPr>
        <w:pStyle w:val="PPtext"/>
        <w:spacing w:before="60"/>
      </w:pPr>
      <w:r>
        <w:t>I</w:t>
      </w:r>
      <w:r w:rsidR="00002E76">
        <w:t xml:space="preserve">t’s noteworthy that the Postal Service cannot define the volume of mail potentially impacted by Optimized Collections.  If its implementation of the initiative is as “deliberate and systematic” as it claims, it would have volume data from post offices and delivery units at hand to use in modeling.  Instead, it admits to not knowing impacted volume until </w:t>
      </w:r>
      <w:r w:rsidR="00002E76" w:rsidRPr="00A44E60">
        <w:rPr>
          <w:i/>
          <w:iCs/>
        </w:rPr>
        <w:t>after</w:t>
      </w:r>
      <w:r w:rsidR="00002E76">
        <w:t xml:space="preserve"> the initiative has been implemented.</w:t>
      </w:r>
    </w:p>
    <w:p w14:paraId="6F06C003" w14:textId="213A6029" w:rsidR="008C4046" w:rsidRDefault="00421A17" w:rsidP="00E34F23">
      <w:pPr>
        <w:pStyle w:val="PPtext"/>
        <w:spacing w:before="60" w:line="216" w:lineRule="exact"/>
      </w:pPr>
      <w:r w:rsidRPr="00421A17">
        <w:t>In a perhaps inadvertent revelation about how the Postal Service values appearance over substance, it stated that Optimized Collections would be rebranded</w:t>
      </w:r>
      <w:r>
        <w:t xml:space="preserve"> to </w:t>
      </w:r>
      <w:r w:rsidR="006C48AD">
        <w:t>“Local Transportation Optimization</w:t>
      </w:r>
      <w:r w:rsidR="008F0F40">
        <w:t>.</w:t>
      </w:r>
      <w:r w:rsidR="006C48AD">
        <w:t xml:space="preserve">” </w:t>
      </w:r>
      <w:r w:rsidR="008F0F40">
        <w:t xml:space="preserve"> However, r</w:t>
      </w:r>
      <w:r w:rsidR="008F0F40" w:rsidRPr="008F0F40">
        <w:t>egardless of what the USPS wants to call the initiative, the descriptors the agency has used, whether for the initiative, for its processes and methods, or for what the initiative is supposed to yield, are all very subjective and likely would not be defined by customers and ratepayers as they have been by the Postal Service.</w:t>
      </w:r>
    </w:p>
    <w:p w14:paraId="051C84EC" w14:textId="3075BB40" w:rsidR="00DE28AC" w:rsidRDefault="00656D6B" w:rsidP="00806FAB">
      <w:pPr>
        <w:pStyle w:val="PPSub"/>
      </w:pPr>
      <w:r w:rsidRPr="00656D6B">
        <w:t>October Financials: Off on a Better Start</w:t>
      </w:r>
    </w:p>
    <w:p w14:paraId="3AB534C1" w14:textId="77777777" w:rsidR="00F53557" w:rsidRPr="00F53557" w:rsidRDefault="00F53557" w:rsidP="00F53557">
      <w:pPr>
        <w:widowControl w:val="0"/>
        <w:spacing w:before="60" w:line="220" w:lineRule="exact"/>
        <w:rPr>
          <w:rFonts w:cs="Calibri"/>
          <w:sz w:val="20"/>
          <w:szCs w:val="20"/>
        </w:rPr>
      </w:pPr>
      <w:r w:rsidRPr="00F53557">
        <w:rPr>
          <w:rFonts w:cs="Calibri"/>
          <w:sz w:val="20"/>
          <w:szCs w:val="20"/>
        </w:rPr>
        <w:t xml:space="preserve">October provided an improved bottom </w:t>
      </w:r>
      <w:proofErr w:type="gramStart"/>
      <w:r w:rsidRPr="00F53557">
        <w:rPr>
          <w:rFonts w:cs="Calibri"/>
          <w:sz w:val="20"/>
          <w:szCs w:val="20"/>
        </w:rPr>
        <w:t>line</w:t>
      </w:r>
      <w:proofErr w:type="gramEnd"/>
      <w:r w:rsidRPr="00F53557">
        <w:rPr>
          <w:rFonts w:cs="Calibri"/>
          <w:sz w:val="20"/>
          <w:szCs w:val="20"/>
        </w:rPr>
        <w:t xml:space="preserve"> but the larger trends of decreased volume and revenue continued.  Volume for the largest market-dominant classes again was sharply lower; competitive product volume, which, according to the PMG’s 10-Year Plan, is expected to grow as a source of volume and revenue, was better than in recent months.</w:t>
      </w:r>
    </w:p>
    <w:p w14:paraId="54B5B172" w14:textId="77777777" w:rsidR="00F53557" w:rsidRPr="00F53557" w:rsidRDefault="00F53557" w:rsidP="00F53557">
      <w:pPr>
        <w:widowControl w:val="0"/>
        <w:spacing w:before="60" w:line="220" w:lineRule="exact"/>
        <w:rPr>
          <w:rFonts w:cs="Calibri"/>
          <w:sz w:val="20"/>
          <w:szCs w:val="20"/>
        </w:rPr>
      </w:pPr>
      <w:r w:rsidRPr="00F53557">
        <w:rPr>
          <w:rFonts w:cs="Calibri"/>
          <w:sz w:val="20"/>
          <w:szCs w:val="20"/>
        </w:rPr>
        <w:t xml:space="preserve">Personnel costs were under plan, thanks to a $344 million favorable swing in the workers’ comp liability, resulting </w:t>
      </w:r>
      <w:r w:rsidRPr="00F53557">
        <w:rPr>
          <w:rFonts w:cs="Calibri"/>
          <w:sz w:val="20"/>
          <w:szCs w:val="20"/>
        </w:rPr>
        <w:lastRenderedPageBreak/>
        <w:t>in total monthly revenue of $6.917 billion and a monthly surplus to start the new fiscal year.  (As the first month of the fiscal year, October and year-to-date data are the same.)</w:t>
      </w:r>
    </w:p>
    <w:p w14:paraId="1B7D7E85" w14:textId="77777777" w:rsidR="00F53557" w:rsidRPr="00F53557" w:rsidRDefault="00F53557" w:rsidP="00F53557">
      <w:pPr>
        <w:widowControl w:val="0"/>
        <w:spacing w:before="60" w:line="220" w:lineRule="exact"/>
        <w:rPr>
          <w:rFonts w:cs="Calibri"/>
          <w:sz w:val="20"/>
          <w:szCs w:val="20"/>
        </w:rPr>
      </w:pPr>
      <w:r w:rsidRPr="00F53557">
        <w:rPr>
          <w:rFonts w:cs="Calibri"/>
          <w:sz w:val="20"/>
          <w:szCs w:val="20"/>
        </w:rPr>
        <w:t>Total market-dominant mail volume was down 15.6% compared to October 2022; First-Class Mail volume fell by 5.9% but Marketing Mail plunged again, down 21.3%.  Meanwhile, as the holidays approach and on-line shopping increases, competitive products volume was up 5.9%.  Total USPS volume was 10.565 billion pieces, down 14.6% from</w:t>
      </w:r>
      <w:r w:rsidRPr="00F53557">
        <w:rPr>
          <w:rFonts w:cs="Calibri"/>
          <w:color w:val="FF0000"/>
          <w:sz w:val="20"/>
          <w:szCs w:val="20"/>
        </w:rPr>
        <w:t xml:space="preserve"> </w:t>
      </w:r>
      <w:r w:rsidRPr="00F53557">
        <w:rPr>
          <w:rFonts w:cs="Calibri"/>
          <w:sz w:val="20"/>
          <w:szCs w:val="20"/>
        </w:rPr>
        <w:t>2022.</w:t>
      </w:r>
    </w:p>
    <w:p w14:paraId="386B81A5" w14:textId="77777777" w:rsidR="00F53557" w:rsidRPr="00EA61F6" w:rsidRDefault="00F53557" w:rsidP="00F53557">
      <w:pPr>
        <w:widowControl w:val="0"/>
        <w:tabs>
          <w:tab w:val="left" w:pos="144"/>
        </w:tabs>
        <w:spacing w:before="20" w:line="200" w:lineRule="exact"/>
        <w:ind w:left="288" w:hanging="144"/>
        <w:rPr>
          <w:rFonts w:cs="Calibri"/>
          <w:sz w:val="18"/>
          <w:szCs w:val="18"/>
        </w:rPr>
      </w:pPr>
      <w:r w:rsidRPr="00EA61F6">
        <w:rPr>
          <w:rFonts w:cs="Calibri"/>
          <w:sz w:val="18"/>
          <w:szCs w:val="18"/>
        </w:rPr>
        <w:t>First-Class Mail:</w:t>
      </w:r>
      <w:r>
        <w:rPr>
          <w:rFonts w:cs="Calibri"/>
          <w:sz w:val="18"/>
          <w:szCs w:val="18"/>
        </w:rPr>
        <w:t xml:space="preserve"> </w:t>
      </w:r>
      <w:r w:rsidRPr="00EA61F6">
        <w:rPr>
          <w:rFonts w:cs="Calibri"/>
          <w:sz w:val="18"/>
          <w:szCs w:val="18"/>
        </w:rPr>
        <w:t>3.</w:t>
      </w:r>
      <w:r>
        <w:rPr>
          <w:rFonts w:cs="Calibri"/>
          <w:sz w:val="18"/>
          <w:szCs w:val="18"/>
        </w:rPr>
        <w:t>79</w:t>
      </w:r>
      <w:r w:rsidRPr="00EA61F6">
        <w:rPr>
          <w:rFonts w:cs="Calibri"/>
          <w:sz w:val="18"/>
          <w:szCs w:val="18"/>
        </w:rPr>
        <w:t xml:space="preserve">0 </w:t>
      </w:r>
      <w:proofErr w:type="spellStart"/>
      <w:r w:rsidRPr="00EA61F6">
        <w:rPr>
          <w:rFonts w:cs="Calibri"/>
          <w:sz w:val="18"/>
          <w:szCs w:val="18"/>
        </w:rPr>
        <w:t>bln</w:t>
      </w:r>
      <w:proofErr w:type="spellEnd"/>
      <w:r w:rsidRPr="00EA61F6">
        <w:rPr>
          <w:rFonts w:cs="Calibri"/>
          <w:sz w:val="18"/>
          <w:szCs w:val="18"/>
        </w:rPr>
        <w:t xml:space="preserve"> pcs, </w:t>
      </w:r>
      <w:r w:rsidRPr="00EA61F6">
        <w:rPr>
          <w:rFonts w:cs="Calibri"/>
          <w:color w:val="FF0000"/>
          <w:sz w:val="18"/>
          <w:szCs w:val="18"/>
        </w:rPr>
        <w:t>-</w:t>
      </w:r>
      <w:r>
        <w:rPr>
          <w:rFonts w:cs="Calibri"/>
          <w:color w:val="FF0000"/>
          <w:sz w:val="18"/>
          <w:szCs w:val="18"/>
        </w:rPr>
        <w:t>5.9</w:t>
      </w:r>
      <w:r w:rsidRPr="00EA61F6">
        <w:rPr>
          <w:rFonts w:cs="Calibri"/>
          <w:color w:val="FF0000"/>
          <w:sz w:val="18"/>
          <w:szCs w:val="18"/>
        </w:rPr>
        <w:t>%</w:t>
      </w:r>
    </w:p>
    <w:p w14:paraId="0F595BCE" w14:textId="77777777" w:rsidR="00F53557" w:rsidRPr="00EA61F6" w:rsidRDefault="00F53557" w:rsidP="00F53557">
      <w:pPr>
        <w:widowControl w:val="0"/>
        <w:tabs>
          <w:tab w:val="left" w:pos="144"/>
        </w:tabs>
        <w:spacing w:before="20" w:line="200" w:lineRule="exact"/>
        <w:ind w:left="288" w:hanging="144"/>
        <w:rPr>
          <w:rFonts w:cs="Calibri"/>
          <w:sz w:val="18"/>
          <w:szCs w:val="18"/>
        </w:rPr>
      </w:pPr>
      <w:r w:rsidRPr="00EA61F6">
        <w:rPr>
          <w:rFonts w:cs="Calibri"/>
          <w:sz w:val="18"/>
          <w:szCs w:val="18"/>
        </w:rPr>
        <w:t xml:space="preserve">Marketing Mail: </w:t>
      </w:r>
      <w:r>
        <w:rPr>
          <w:rFonts w:cs="Calibri"/>
          <w:sz w:val="18"/>
          <w:szCs w:val="18"/>
        </w:rPr>
        <w:t>5.880</w:t>
      </w:r>
      <w:r w:rsidRPr="00EA61F6">
        <w:rPr>
          <w:rFonts w:cs="Calibri"/>
          <w:sz w:val="18"/>
          <w:szCs w:val="18"/>
        </w:rPr>
        <w:t xml:space="preserve"> </w:t>
      </w:r>
      <w:proofErr w:type="spellStart"/>
      <w:r w:rsidRPr="00EA61F6">
        <w:rPr>
          <w:rFonts w:cs="Calibri"/>
          <w:sz w:val="18"/>
          <w:szCs w:val="18"/>
        </w:rPr>
        <w:t>bln</w:t>
      </w:r>
      <w:proofErr w:type="spellEnd"/>
      <w:r w:rsidRPr="00EA61F6">
        <w:rPr>
          <w:rFonts w:cs="Calibri"/>
          <w:sz w:val="18"/>
          <w:szCs w:val="18"/>
        </w:rPr>
        <w:t xml:space="preserve"> pcs, </w:t>
      </w:r>
      <w:r w:rsidRPr="00EA61F6">
        <w:rPr>
          <w:rFonts w:cs="Calibri"/>
          <w:color w:val="FF0000"/>
          <w:sz w:val="18"/>
          <w:szCs w:val="18"/>
        </w:rPr>
        <w:t>-</w:t>
      </w:r>
      <w:r>
        <w:rPr>
          <w:rFonts w:cs="Calibri"/>
          <w:color w:val="FF0000"/>
          <w:sz w:val="18"/>
          <w:szCs w:val="18"/>
        </w:rPr>
        <w:t>21.3</w:t>
      </w:r>
      <w:r w:rsidRPr="00EA61F6">
        <w:rPr>
          <w:rFonts w:cs="Calibri"/>
          <w:color w:val="FF0000"/>
          <w:sz w:val="18"/>
          <w:szCs w:val="18"/>
        </w:rPr>
        <w:t>%</w:t>
      </w:r>
    </w:p>
    <w:p w14:paraId="72239E89" w14:textId="77777777" w:rsidR="00F53557" w:rsidRPr="00EA61F6" w:rsidRDefault="00F53557" w:rsidP="00F53557">
      <w:pPr>
        <w:widowControl w:val="0"/>
        <w:tabs>
          <w:tab w:val="left" w:pos="144"/>
        </w:tabs>
        <w:spacing w:before="20" w:line="200" w:lineRule="exact"/>
        <w:ind w:left="288" w:hanging="144"/>
        <w:rPr>
          <w:rFonts w:cs="Calibri"/>
          <w:color w:val="FF0000"/>
          <w:sz w:val="18"/>
          <w:szCs w:val="18"/>
        </w:rPr>
      </w:pPr>
      <w:r w:rsidRPr="00EA61F6">
        <w:rPr>
          <w:rFonts w:cs="Calibri"/>
          <w:sz w:val="18"/>
          <w:szCs w:val="18"/>
        </w:rPr>
        <w:t>Periodicals:</w:t>
      </w:r>
      <w:r>
        <w:rPr>
          <w:rFonts w:cs="Calibri"/>
          <w:sz w:val="18"/>
          <w:szCs w:val="18"/>
        </w:rPr>
        <w:t xml:space="preserve"> </w:t>
      </w:r>
      <w:r w:rsidRPr="00EA61F6">
        <w:rPr>
          <w:rFonts w:cs="Calibri"/>
          <w:sz w:val="18"/>
          <w:szCs w:val="18"/>
        </w:rPr>
        <w:t>2</w:t>
      </w:r>
      <w:r>
        <w:rPr>
          <w:rFonts w:cs="Calibri"/>
          <w:sz w:val="18"/>
          <w:szCs w:val="18"/>
        </w:rPr>
        <w:t>51.7</w:t>
      </w:r>
      <w:r w:rsidRPr="00EA61F6">
        <w:rPr>
          <w:rFonts w:cs="Calibri"/>
          <w:sz w:val="18"/>
          <w:szCs w:val="18"/>
        </w:rPr>
        <w:t xml:space="preserve"> </w:t>
      </w:r>
      <w:proofErr w:type="spellStart"/>
      <w:r w:rsidRPr="00EA61F6">
        <w:rPr>
          <w:rFonts w:cs="Calibri"/>
          <w:sz w:val="18"/>
          <w:szCs w:val="18"/>
        </w:rPr>
        <w:t>mln</w:t>
      </w:r>
      <w:proofErr w:type="spellEnd"/>
      <w:r w:rsidRPr="00EA61F6">
        <w:rPr>
          <w:rFonts w:cs="Calibri"/>
          <w:sz w:val="18"/>
          <w:szCs w:val="18"/>
        </w:rPr>
        <w:t xml:space="preserve"> pcs, </w:t>
      </w:r>
      <w:r w:rsidRPr="00EA61F6">
        <w:rPr>
          <w:rFonts w:cs="Calibri"/>
          <w:color w:val="FF0000"/>
          <w:sz w:val="18"/>
          <w:szCs w:val="18"/>
        </w:rPr>
        <w:t>-</w:t>
      </w:r>
      <w:r>
        <w:rPr>
          <w:rFonts w:cs="Calibri"/>
          <w:color w:val="FF0000"/>
          <w:sz w:val="18"/>
          <w:szCs w:val="18"/>
        </w:rPr>
        <w:t>3.8</w:t>
      </w:r>
      <w:r w:rsidRPr="00EA61F6">
        <w:rPr>
          <w:rFonts w:cs="Calibri"/>
          <w:color w:val="FF0000"/>
          <w:sz w:val="18"/>
          <w:szCs w:val="18"/>
        </w:rPr>
        <w:t>%</w:t>
      </w:r>
    </w:p>
    <w:p w14:paraId="5B85F085" w14:textId="77777777" w:rsidR="00F53557" w:rsidRPr="00EA61F6" w:rsidRDefault="00F53557" w:rsidP="00F53557">
      <w:pPr>
        <w:widowControl w:val="0"/>
        <w:tabs>
          <w:tab w:val="left" w:pos="144"/>
        </w:tabs>
        <w:spacing w:before="20" w:line="200" w:lineRule="exact"/>
        <w:ind w:left="288" w:hanging="144"/>
        <w:rPr>
          <w:rFonts w:cs="Calibri"/>
          <w:sz w:val="18"/>
          <w:szCs w:val="18"/>
        </w:rPr>
      </w:pPr>
      <w:r w:rsidRPr="00EA61F6">
        <w:rPr>
          <w:rFonts w:cs="Calibri"/>
          <w:sz w:val="18"/>
          <w:szCs w:val="18"/>
        </w:rPr>
        <w:t>Total Mkt Dom:</w:t>
      </w:r>
      <w:r>
        <w:rPr>
          <w:rFonts w:cs="Calibri"/>
          <w:sz w:val="18"/>
          <w:szCs w:val="18"/>
        </w:rPr>
        <w:t xml:space="preserve"> 9.983</w:t>
      </w:r>
      <w:r w:rsidRPr="00EA61F6">
        <w:rPr>
          <w:rFonts w:cs="Calibri"/>
          <w:sz w:val="18"/>
          <w:szCs w:val="18"/>
        </w:rPr>
        <w:t xml:space="preserve"> </w:t>
      </w:r>
      <w:proofErr w:type="spellStart"/>
      <w:r w:rsidRPr="00EA61F6">
        <w:rPr>
          <w:rFonts w:cs="Calibri"/>
          <w:sz w:val="18"/>
          <w:szCs w:val="18"/>
        </w:rPr>
        <w:t>bln</w:t>
      </w:r>
      <w:proofErr w:type="spellEnd"/>
      <w:r w:rsidRPr="00EA61F6">
        <w:rPr>
          <w:rFonts w:cs="Calibri"/>
          <w:sz w:val="18"/>
          <w:szCs w:val="18"/>
        </w:rPr>
        <w:t xml:space="preserve"> pcs, </w:t>
      </w:r>
      <w:r w:rsidRPr="00EA61F6">
        <w:rPr>
          <w:rFonts w:cs="Calibri"/>
          <w:color w:val="FF0000"/>
          <w:sz w:val="18"/>
          <w:szCs w:val="18"/>
        </w:rPr>
        <w:t>-</w:t>
      </w:r>
      <w:r>
        <w:rPr>
          <w:rFonts w:cs="Calibri"/>
          <w:color w:val="FF0000"/>
          <w:sz w:val="18"/>
          <w:szCs w:val="18"/>
        </w:rPr>
        <w:t>15.6</w:t>
      </w:r>
      <w:r w:rsidRPr="00EA61F6">
        <w:rPr>
          <w:rFonts w:cs="Calibri"/>
          <w:color w:val="FF0000"/>
          <w:sz w:val="18"/>
          <w:szCs w:val="18"/>
        </w:rPr>
        <w:t>%</w:t>
      </w:r>
    </w:p>
    <w:p w14:paraId="3C68F6CF" w14:textId="77777777" w:rsidR="00F53557" w:rsidRPr="00EA61F6" w:rsidRDefault="00F53557" w:rsidP="00F53557">
      <w:pPr>
        <w:widowControl w:val="0"/>
        <w:tabs>
          <w:tab w:val="left" w:pos="144"/>
        </w:tabs>
        <w:spacing w:before="20" w:line="200" w:lineRule="exact"/>
        <w:ind w:left="288" w:hanging="144"/>
        <w:rPr>
          <w:rFonts w:cs="Calibri"/>
          <w:spacing w:val="-1"/>
          <w:sz w:val="18"/>
          <w:szCs w:val="18"/>
        </w:rPr>
      </w:pPr>
      <w:r w:rsidRPr="00EA61F6">
        <w:rPr>
          <w:rFonts w:cs="Calibri"/>
          <w:spacing w:val="-1"/>
          <w:sz w:val="18"/>
          <w:szCs w:val="18"/>
        </w:rPr>
        <w:t>Total Competitive:</w:t>
      </w:r>
      <w:r>
        <w:rPr>
          <w:rFonts w:cs="Calibri"/>
          <w:spacing w:val="-1"/>
          <w:sz w:val="18"/>
          <w:szCs w:val="18"/>
        </w:rPr>
        <w:t xml:space="preserve"> </w:t>
      </w:r>
      <w:r w:rsidRPr="00EA61F6">
        <w:rPr>
          <w:rFonts w:cs="Calibri"/>
          <w:spacing w:val="-1"/>
          <w:sz w:val="18"/>
          <w:szCs w:val="18"/>
        </w:rPr>
        <w:t>5</w:t>
      </w:r>
      <w:r>
        <w:rPr>
          <w:rFonts w:cs="Calibri"/>
          <w:spacing w:val="-1"/>
          <w:sz w:val="18"/>
          <w:szCs w:val="18"/>
        </w:rPr>
        <w:t>60.1</w:t>
      </w:r>
      <w:r w:rsidRPr="00EA61F6">
        <w:rPr>
          <w:rFonts w:cs="Calibri"/>
          <w:spacing w:val="-1"/>
          <w:sz w:val="18"/>
          <w:szCs w:val="18"/>
        </w:rPr>
        <w:t xml:space="preserve"> </w:t>
      </w:r>
      <w:proofErr w:type="spellStart"/>
      <w:r w:rsidRPr="00EA61F6">
        <w:rPr>
          <w:rFonts w:cs="Calibri"/>
          <w:spacing w:val="-1"/>
          <w:sz w:val="18"/>
          <w:szCs w:val="18"/>
        </w:rPr>
        <w:t>mln</w:t>
      </w:r>
      <w:proofErr w:type="spellEnd"/>
      <w:r w:rsidRPr="00EA61F6">
        <w:rPr>
          <w:rFonts w:cs="Calibri"/>
          <w:spacing w:val="-1"/>
          <w:sz w:val="18"/>
          <w:szCs w:val="18"/>
        </w:rPr>
        <w:t xml:space="preserve"> pcs, </w:t>
      </w:r>
      <w:r w:rsidRPr="000C06C0">
        <w:rPr>
          <w:rFonts w:cs="Calibri"/>
          <w:spacing w:val="-1"/>
          <w:sz w:val="18"/>
          <w:szCs w:val="18"/>
        </w:rPr>
        <w:t>+</w:t>
      </w:r>
      <w:r>
        <w:rPr>
          <w:rFonts w:cs="Calibri"/>
          <w:spacing w:val="-1"/>
          <w:sz w:val="18"/>
          <w:szCs w:val="18"/>
        </w:rPr>
        <w:t>7.5</w:t>
      </w:r>
      <w:r w:rsidRPr="00EA61F6">
        <w:rPr>
          <w:rFonts w:cs="Calibri"/>
          <w:spacing w:val="-1"/>
          <w:sz w:val="18"/>
          <w:szCs w:val="18"/>
        </w:rPr>
        <w:t>%</w:t>
      </w:r>
    </w:p>
    <w:p w14:paraId="21D12A88" w14:textId="77777777" w:rsidR="00F53557" w:rsidRPr="00EA61F6" w:rsidRDefault="00F53557" w:rsidP="00F53557">
      <w:pPr>
        <w:widowControl w:val="0"/>
        <w:tabs>
          <w:tab w:val="left" w:pos="144"/>
        </w:tabs>
        <w:spacing w:before="20" w:line="200" w:lineRule="exact"/>
        <w:ind w:left="288" w:hanging="144"/>
        <w:jc w:val="both"/>
        <w:rPr>
          <w:rFonts w:cs="Calibri"/>
          <w:sz w:val="18"/>
          <w:szCs w:val="18"/>
        </w:rPr>
      </w:pPr>
      <w:r w:rsidRPr="00EA61F6">
        <w:rPr>
          <w:rFonts w:cs="Calibri"/>
          <w:sz w:val="18"/>
          <w:szCs w:val="18"/>
        </w:rPr>
        <w:t>Total USPS:</w:t>
      </w:r>
      <w:r>
        <w:rPr>
          <w:rFonts w:cs="Calibri"/>
          <w:sz w:val="18"/>
          <w:szCs w:val="18"/>
        </w:rPr>
        <w:t xml:space="preserve"> 10.565</w:t>
      </w:r>
      <w:r w:rsidRPr="00EA61F6">
        <w:rPr>
          <w:rFonts w:cs="Calibri"/>
          <w:sz w:val="18"/>
          <w:szCs w:val="18"/>
        </w:rPr>
        <w:t xml:space="preserve"> </w:t>
      </w:r>
      <w:proofErr w:type="spellStart"/>
      <w:r w:rsidRPr="00EA61F6">
        <w:rPr>
          <w:rFonts w:cs="Calibri"/>
          <w:sz w:val="18"/>
          <w:szCs w:val="18"/>
        </w:rPr>
        <w:t>bln</w:t>
      </w:r>
      <w:proofErr w:type="spellEnd"/>
      <w:r w:rsidRPr="00EA61F6">
        <w:rPr>
          <w:rFonts w:cs="Calibri"/>
          <w:sz w:val="18"/>
          <w:szCs w:val="18"/>
        </w:rPr>
        <w:t xml:space="preserve"> pcs, </w:t>
      </w:r>
      <w:r w:rsidRPr="00EA61F6">
        <w:rPr>
          <w:rFonts w:cs="Calibri"/>
          <w:color w:val="FF0000"/>
          <w:sz w:val="18"/>
          <w:szCs w:val="18"/>
        </w:rPr>
        <w:t>-</w:t>
      </w:r>
      <w:r>
        <w:rPr>
          <w:rFonts w:cs="Calibri"/>
          <w:color w:val="FF0000"/>
          <w:sz w:val="18"/>
          <w:szCs w:val="18"/>
        </w:rPr>
        <w:t>14.6</w:t>
      </w:r>
      <w:r w:rsidRPr="00EA61F6">
        <w:rPr>
          <w:rFonts w:cs="Calibri"/>
          <w:color w:val="FF0000"/>
          <w:sz w:val="18"/>
          <w:szCs w:val="18"/>
        </w:rPr>
        <w:t>%</w:t>
      </w:r>
    </w:p>
    <w:p w14:paraId="15783627" w14:textId="5FD8E8EB" w:rsidR="005B39A8" w:rsidRPr="005B39A8" w:rsidRDefault="00F53557" w:rsidP="005B39A8">
      <w:pPr>
        <w:widowControl w:val="0"/>
        <w:tabs>
          <w:tab w:val="left" w:pos="288"/>
        </w:tabs>
        <w:spacing w:before="60" w:line="200" w:lineRule="exact"/>
        <w:rPr>
          <w:rFonts w:ascii="Calibri" w:hAnsi="Calibri" w:cs="Calibri"/>
          <w:sz w:val="20"/>
          <w:szCs w:val="20"/>
        </w:rPr>
      </w:pPr>
      <w:r w:rsidRPr="005B39A8">
        <w:rPr>
          <w:rFonts w:cs="Calibri"/>
          <w:sz w:val="20"/>
          <w:szCs w:val="20"/>
        </w:rPr>
        <w:t>Though market-dominant revenue should be higher because of price increases totaling over 10.7% since March 2022,</w:t>
      </w:r>
      <w:r w:rsidR="005B39A8" w:rsidRPr="005B39A8">
        <w:rPr>
          <w:rFonts w:cs="Calibri"/>
          <w:sz w:val="20"/>
          <w:szCs w:val="20"/>
        </w:rPr>
        <w:t xml:space="preserve"> revenue from the market-dominant classes</w:t>
      </w:r>
      <w:r w:rsidR="005B39A8" w:rsidRPr="005B39A8">
        <w:rPr>
          <w:rFonts w:ascii="Calibri" w:hAnsi="Calibri" w:cs="Calibri"/>
          <w:sz w:val="20"/>
          <w:szCs w:val="20"/>
        </w:rPr>
        <w:t xml:space="preserve"> was </w:t>
      </w:r>
      <w:proofErr w:type="gramStart"/>
      <w:r w:rsidR="005B39A8" w:rsidRPr="005B39A8">
        <w:rPr>
          <w:rFonts w:ascii="Calibri" w:hAnsi="Calibri" w:cs="Calibri"/>
          <w:sz w:val="20"/>
          <w:szCs w:val="20"/>
        </w:rPr>
        <w:t>actually fell</w:t>
      </w:r>
      <w:proofErr w:type="gramEnd"/>
      <w:r w:rsidR="005B39A8" w:rsidRPr="005B39A8">
        <w:rPr>
          <w:rFonts w:ascii="Calibri" w:hAnsi="Calibri" w:cs="Calibri"/>
          <w:sz w:val="20"/>
          <w:szCs w:val="20"/>
        </w:rPr>
        <w:t xml:space="preserve"> by 3.0% compared to October 2022.</w:t>
      </w:r>
    </w:p>
    <w:p w14:paraId="3FC22C58" w14:textId="77777777" w:rsidR="005B39A8" w:rsidRPr="00EA61F6" w:rsidRDefault="005B39A8" w:rsidP="005B39A8">
      <w:pPr>
        <w:widowControl w:val="0"/>
        <w:tabs>
          <w:tab w:val="left" w:pos="144"/>
        </w:tabs>
        <w:spacing w:before="20" w:line="200" w:lineRule="exact"/>
        <w:ind w:left="288" w:hanging="144"/>
        <w:jc w:val="both"/>
        <w:rPr>
          <w:rFonts w:cs="Calibri"/>
          <w:sz w:val="18"/>
          <w:szCs w:val="18"/>
        </w:rPr>
      </w:pPr>
      <w:r w:rsidRPr="00EA61F6">
        <w:rPr>
          <w:rFonts w:cs="Calibri"/>
          <w:sz w:val="18"/>
          <w:szCs w:val="18"/>
        </w:rPr>
        <w:t>First-Class Mail:</w:t>
      </w:r>
      <w:r>
        <w:rPr>
          <w:rFonts w:cs="Calibri"/>
          <w:sz w:val="18"/>
          <w:szCs w:val="18"/>
        </w:rPr>
        <w:t xml:space="preserve"> </w:t>
      </w:r>
      <w:r w:rsidRPr="00EA61F6">
        <w:rPr>
          <w:rFonts w:cs="Calibri"/>
          <w:sz w:val="18"/>
          <w:szCs w:val="18"/>
        </w:rPr>
        <w:t>$</w:t>
      </w:r>
      <w:r>
        <w:rPr>
          <w:rFonts w:cs="Calibri"/>
          <w:sz w:val="18"/>
          <w:szCs w:val="18"/>
        </w:rPr>
        <w:t>2.131</w:t>
      </w:r>
      <w:r w:rsidRPr="00EA61F6">
        <w:rPr>
          <w:rFonts w:cs="Calibri"/>
          <w:sz w:val="18"/>
          <w:szCs w:val="18"/>
        </w:rPr>
        <w:t xml:space="preserve"> </w:t>
      </w:r>
      <w:proofErr w:type="spellStart"/>
      <w:r w:rsidRPr="00EA61F6">
        <w:rPr>
          <w:rFonts w:cs="Calibri"/>
          <w:sz w:val="18"/>
          <w:szCs w:val="18"/>
        </w:rPr>
        <w:t>bln</w:t>
      </w:r>
      <w:proofErr w:type="spellEnd"/>
      <w:r w:rsidRPr="00EA61F6">
        <w:rPr>
          <w:rFonts w:cs="Calibri"/>
          <w:sz w:val="18"/>
          <w:szCs w:val="18"/>
        </w:rPr>
        <w:t>, +</w:t>
      </w:r>
      <w:r>
        <w:rPr>
          <w:rFonts w:cs="Calibri"/>
          <w:sz w:val="18"/>
          <w:szCs w:val="18"/>
        </w:rPr>
        <w:t>2.8</w:t>
      </w:r>
      <w:r w:rsidRPr="00EA61F6">
        <w:rPr>
          <w:rFonts w:cs="Calibri"/>
          <w:sz w:val="18"/>
          <w:szCs w:val="18"/>
        </w:rPr>
        <w:t>%</w:t>
      </w:r>
    </w:p>
    <w:p w14:paraId="172BF776" w14:textId="77777777" w:rsidR="005B39A8" w:rsidRPr="00EA61F6" w:rsidRDefault="005B39A8" w:rsidP="005B39A8">
      <w:pPr>
        <w:widowControl w:val="0"/>
        <w:tabs>
          <w:tab w:val="left" w:pos="144"/>
        </w:tabs>
        <w:spacing w:before="20" w:line="200" w:lineRule="exact"/>
        <w:ind w:left="288" w:hanging="144"/>
        <w:jc w:val="both"/>
        <w:rPr>
          <w:rFonts w:cs="Calibri"/>
          <w:sz w:val="18"/>
          <w:szCs w:val="18"/>
        </w:rPr>
      </w:pPr>
      <w:r w:rsidRPr="00EA61F6">
        <w:rPr>
          <w:rFonts w:cs="Calibri"/>
          <w:sz w:val="18"/>
          <w:szCs w:val="18"/>
        </w:rPr>
        <w:t>Marketing Mail:</w:t>
      </w:r>
      <w:r>
        <w:rPr>
          <w:rFonts w:cs="Calibri"/>
          <w:sz w:val="18"/>
          <w:szCs w:val="18"/>
        </w:rPr>
        <w:t xml:space="preserve"> </w:t>
      </w:r>
      <w:r w:rsidRPr="00EA61F6">
        <w:rPr>
          <w:rFonts w:cs="Calibri"/>
          <w:sz w:val="18"/>
          <w:szCs w:val="18"/>
        </w:rPr>
        <w:t>$1.</w:t>
      </w:r>
      <w:r>
        <w:rPr>
          <w:rFonts w:cs="Calibri"/>
          <w:sz w:val="18"/>
          <w:szCs w:val="18"/>
        </w:rPr>
        <w:t>576</w:t>
      </w:r>
      <w:r w:rsidRPr="00EA61F6">
        <w:rPr>
          <w:rFonts w:cs="Calibri"/>
          <w:sz w:val="18"/>
          <w:szCs w:val="18"/>
        </w:rPr>
        <w:t xml:space="preserve"> </w:t>
      </w:r>
      <w:proofErr w:type="spellStart"/>
      <w:r w:rsidRPr="00EA61F6">
        <w:rPr>
          <w:rFonts w:cs="Calibri"/>
          <w:sz w:val="18"/>
          <w:szCs w:val="18"/>
        </w:rPr>
        <w:t>bln</w:t>
      </w:r>
      <w:proofErr w:type="spellEnd"/>
      <w:r w:rsidRPr="00EA61F6">
        <w:rPr>
          <w:rFonts w:cs="Calibri"/>
          <w:sz w:val="18"/>
          <w:szCs w:val="18"/>
        </w:rPr>
        <w:t xml:space="preserve">, </w:t>
      </w:r>
      <w:r w:rsidRPr="00EA61F6">
        <w:rPr>
          <w:rFonts w:cs="Calibri"/>
          <w:color w:val="FF0000"/>
          <w:sz w:val="18"/>
          <w:szCs w:val="18"/>
        </w:rPr>
        <w:t>-</w:t>
      </w:r>
      <w:r>
        <w:rPr>
          <w:rFonts w:cs="Calibri"/>
          <w:color w:val="FF0000"/>
          <w:sz w:val="18"/>
          <w:szCs w:val="18"/>
        </w:rPr>
        <w:t>12.8</w:t>
      </w:r>
      <w:r w:rsidRPr="00EA61F6">
        <w:rPr>
          <w:rFonts w:cs="Calibri"/>
          <w:color w:val="FF0000"/>
          <w:sz w:val="18"/>
          <w:szCs w:val="18"/>
        </w:rPr>
        <w:t>%</w:t>
      </w:r>
    </w:p>
    <w:p w14:paraId="0CC1309A" w14:textId="77777777" w:rsidR="005B39A8" w:rsidRPr="00EA61F6" w:rsidRDefault="005B39A8" w:rsidP="005B39A8">
      <w:pPr>
        <w:widowControl w:val="0"/>
        <w:tabs>
          <w:tab w:val="left" w:pos="144"/>
        </w:tabs>
        <w:spacing w:before="20" w:line="200" w:lineRule="exact"/>
        <w:ind w:left="288" w:hanging="144"/>
        <w:jc w:val="both"/>
        <w:rPr>
          <w:rFonts w:cs="Calibri"/>
          <w:sz w:val="18"/>
          <w:szCs w:val="18"/>
        </w:rPr>
      </w:pPr>
      <w:r w:rsidRPr="00EA61F6">
        <w:rPr>
          <w:rFonts w:cs="Calibri"/>
          <w:sz w:val="18"/>
          <w:szCs w:val="18"/>
        </w:rPr>
        <w:t>Periodicals:</w:t>
      </w:r>
      <w:r>
        <w:rPr>
          <w:rFonts w:cs="Calibri"/>
          <w:sz w:val="18"/>
          <w:szCs w:val="18"/>
        </w:rPr>
        <w:t xml:space="preserve"> </w:t>
      </w:r>
      <w:r w:rsidRPr="00EA61F6">
        <w:rPr>
          <w:rFonts w:cs="Calibri"/>
          <w:sz w:val="18"/>
          <w:szCs w:val="18"/>
        </w:rPr>
        <w:t>$</w:t>
      </w:r>
      <w:r>
        <w:rPr>
          <w:rFonts w:cs="Calibri"/>
          <w:sz w:val="18"/>
          <w:szCs w:val="18"/>
        </w:rPr>
        <w:t>82.06</w:t>
      </w:r>
      <w:r w:rsidRPr="00EA61F6">
        <w:rPr>
          <w:rFonts w:cs="Calibri"/>
          <w:sz w:val="18"/>
          <w:szCs w:val="18"/>
        </w:rPr>
        <w:t xml:space="preserve"> </w:t>
      </w:r>
      <w:proofErr w:type="spellStart"/>
      <w:r w:rsidRPr="00EA61F6">
        <w:rPr>
          <w:rFonts w:cs="Calibri"/>
          <w:sz w:val="18"/>
          <w:szCs w:val="18"/>
        </w:rPr>
        <w:t>mln</w:t>
      </w:r>
      <w:proofErr w:type="spellEnd"/>
      <w:r w:rsidRPr="00EA61F6">
        <w:rPr>
          <w:rFonts w:cs="Calibri"/>
          <w:sz w:val="18"/>
          <w:szCs w:val="18"/>
        </w:rPr>
        <w:t xml:space="preserve">, </w:t>
      </w:r>
      <w:r w:rsidRPr="000A39E1">
        <w:rPr>
          <w:rFonts w:cs="Calibri"/>
          <w:sz w:val="18"/>
          <w:szCs w:val="18"/>
        </w:rPr>
        <w:t>+5.0%</w:t>
      </w:r>
    </w:p>
    <w:p w14:paraId="6A724967" w14:textId="77777777" w:rsidR="005B39A8" w:rsidRPr="00EA61F6" w:rsidRDefault="005B39A8" w:rsidP="005B39A8">
      <w:pPr>
        <w:widowControl w:val="0"/>
        <w:tabs>
          <w:tab w:val="left" w:pos="144"/>
        </w:tabs>
        <w:spacing w:before="20" w:line="200" w:lineRule="exact"/>
        <w:ind w:left="288" w:hanging="144"/>
        <w:jc w:val="both"/>
        <w:rPr>
          <w:rFonts w:cs="Calibri"/>
          <w:sz w:val="18"/>
          <w:szCs w:val="18"/>
        </w:rPr>
      </w:pPr>
      <w:r w:rsidRPr="00EA61F6">
        <w:rPr>
          <w:rFonts w:cs="Calibri"/>
          <w:sz w:val="18"/>
          <w:szCs w:val="18"/>
        </w:rPr>
        <w:t>Total Mkt Dominant:</w:t>
      </w:r>
      <w:r>
        <w:rPr>
          <w:rFonts w:cs="Calibri"/>
          <w:sz w:val="18"/>
          <w:szCs w:val="18"/>
        </w:rPr>
        <w:t xml:space="preserve"> </w:t>
      </w:r>
      <w:r w:rsidRPr="00EA61F6">
        <w:rPr>
          <w:rFonts w:cs="Calibri"/>
          <w:sz w:val="18"/>
          <w:szCs w:val="18"/>
        </w:rPr>
        <w:t>$</w:t>
      </w:r>
      <w:r>
        <w:rPr>
          <w:rFonts w:cs="Calibri"/>
          <w:sz w:val="18"/>
          <w:szCs w:val="18"/>
        </w:rPr>
        <w:t>4.133</w:t>
      </w:r>
      <w:r w:rsidRPr="00EA61F6">
        <w:rPr>
          <w:rFonts w:cs="Calibri"/>
          <w:sz w:val="18"/>
          <w:szCs w:val="18"/>
        </w:rPr>
        <w:t xml:space="preserve"> </w:t>
      </w:r>
      <w:proofErr w:type="spellStart"/>
      <w:r w:rsidRPr="00EA61F6">
        <w:rPr>
          <w:rFonts w:cs="Calibri"/>
          <w:sz w:val="18"/>
          <w:szCs w:val="18"/>
        </w:rPr>
        <w:t>bln</w:t>
      </w:r>
      <w:proofErr w:type="spellEnd"/>
      <w:r w:rsidRPr="00EA61F6">
        <w:rPr>
          <w:rFonts w:cs="Calibri"/>
          <w:sz w:val="18"/>
          <w:szCs w:val="18"/>
        </w:rPr>
        <w:t xml:space="preserve">, </w:t>
      </w:r>
      <w:r w:rsidRPr="003A3BC9">
        <w:rPr>
          <w:rFonts w:cs="Calibri"/>
          <w:color w:val="FF0000"/>
          <w:sz w:val="18"/>
          <w:szCs w:val="18"/>
        </w:rPr>
        <w:t>-</w:t>
      </w:r>
      <w:r>
        <w:rPr>
          <w:rFonts w:cs="Calibri"/>
          <w:color w:val="FF0000"/>
          <w:sz w:val="18"/>
          <w:szCs w:val="18"/>
        </w:rPr>
        <w:t>3.0</w:t>
      </w:r>
      <w:r w:rsidRPr="003A3BC9">
        <w:rPr>
          <w:rFonts w:cs="Calibri"/>
          <w:color w:val="FF0000"/>
          <w:sz w:val="18"/>
          <w:szCs w:val="18"/>
        </w:rPr>
        <w:t>%</w:t>
      </w:r>
    </w:p>
    <w:p w14:paraId="3D76DCDE" w14:textId="77777777" w:rsidR="005B39A8" w:rsidRPr="00EA61F6" w:rsidRDefault="005B39A8" w:rsidP="005B39A8">
      <w:pPr>
        <w:widowControl w:val="0"/>
        <w:tabs>
          <w:tab w:val="left" w:pos="144"/>
        </w:tabs>
        <w:spacing w:before="20" w:line="200" w:lineRule="exact"/>
        <w:ind w:left="288" w:hanging="144"/>
        <w:rPr>
          <w:rFonts w:cs="Calibri"/>
          <w:spacing w:val="-2"/>
          <w:sz w:val="18"/>
          <w:szCs w:val="18"/>
        </w:rPr>
      </w:pPr>
      <w:r w:rsidRPr="00EA61F6">
        <w:rPr>
          <w:rFonts w:cs="Calibri"/>
          <w:spacing w:val="-2"/>
          <w:sz w:val="18"/>
          <w:szCs w:val="18"/>
        </w:rPr>
        <w:t>Total Competitive:</w:t>
      </w:r>
      <w:r>
        <w:rPr>
          <w:rFonts w:cs="Calibri"/>
          <w:spacing w:val="-2"/>
          <w:sz w:val="18"/>
          <w:szCs w:val="18"/>
        </w:rPr>
        <w:t xml:space="preserve"> </w:t>
      </w:r>
      <w:r w:rsidRPr="00EA61F6">
        <w:rPr>
          <w:rFonts w:cs="Calibri"/>
          <w:spacing w:val="-2"/>
          <w:sz w:val="18"/>
          <w:szCs w:val="18"/>
        </w:rPr>
        <w:t>$2.</w:t>
      </w:r>
      <w:r>
        <w:rPr>
          <w:rFonts w:cs="Calibri"/>
          <w:spacing w:val="-2"/>
          <w:sz w:val="18"/>
          <w:szCs w:val="18"/>
        </w:rPr>
        <w:t>667</w:t>
      </w:r>
      <w:r w:rsidRPr="00EA61F6">
        <w:rPr>
          <w:rFonts w:cs="Calibri"/>
          <w:spacing w:val="-2"/>
          <w:sz w:val="18"/>
          <w:szCs w:val="18"/>
        </w:rPr>
        <w:t xml:space="preserve"> </w:t>
      </w:r>
      <w:proofErr w:type="spellStart"/>
      <w:r w:rsidRPr="00EA61F6">
        <w:rPr>
          <w:rFonts w:cs="Calibri"/>
          <w:spacing w:val="-2"/>
          <w:sz w:val="18"/>
          <w:szCs w:val="18"/>
        </w:rPr>
        <w:t>bln</w:t>
      </w:r>
      <w:proofErr w:type="spellEnd"/>
      <w:r w:rsidRPr="00EA61F6">
        <w:rPr>
          <w:rFonts w:cs="Calibri"/>
          <w:spacing w:val="-2"/>
          <w:sz w:val="18"/>
          <w:szCs w:val="18"/>
        </w:rPr>
        <w:t xml:space="preserve">, </w:t>
      </w:r>
      <w:r w:rsidRPr="008469CD">
        <w:rPr>
          <w:rFonts w:cs="Calibri"/>
          <w:spacing w:val="-2"/>
          <w:sz w:val="18"/>
          <w:szCs w:val="18"/>
        </w:rPr>
        <w:t>+</w:t>
      </w:r>
      <w:r>
        <w:rPr>
          <w:rFonts w:cs="Calibri"/>
          <w:spacing w:val="-2"/>
          <w:sz w:val="18"/>
          <w:szCs w:val="18"/>
        </w:rPr>
        <w:t>4.1</w:t>
      </w:r>
      <w:r w:rsidRPr="00EA61F6">
        <w:rPr>
          <w:rFonts w:cs="Calibri"/>
          <w:spacing w:val="-2"/>
          <w:sz w:val="18"/>
          <w:szCs w:val="18"/>
        </w:rPr>
        <w:t>%</w:t>
      </w:r>
    </w:p>
    <w:p w14:paraId="1404126F" w14:textId="77777777" w:rsidR="005B39A8" w:rsidRPr="00EA61F6" w:rsidRDefault="005B39A8" w:rsidP="005B39A8">
      <w:pPr>
        <w:widowControl w:val="0"/>
        <w:tabs>
          <w:tab w:val="left" w:pos="144"/>
        </w:tabs>
        <w:spacing w:before="20" w:line="200" w:lineRule="exact"/>
        <w:ind w:left="288" w:hanging="144"/>
        <w:rPr>
          <w:rFonts w:cs="Calibri"/>
          <w:sz w:val="18"/>
          <w:szCs w:val="18"/>
        </w:rPr>
      </w:pPr>
      <w:r w:rsidRPr="00EA61F6">
        <w:rPr>
          <w:rFonts w:cs="Calibri"/>
          <w:sz w:val="18"/>
          <w:szCs w:val="18"/>
        </w:rPr>
        <w:t>Total USPS:</w:t>
      </w:r>
      <w:r>
        <w:rPr>
          <w:rFonts w:cs="Calibri"/>
          <w:sz w:val="18"/>
          <w:szCs w:val="18"/>
        </w:rPr>
        <w:t xml:space="preserve"> </w:t>
      </w:r>
      <w:r w:rsidRPr="00EA61F6">
        <w:rPr>
          <w:rFonts w:cs="Calibri"/>
          <w:sz w:val="18"/>
          <w:szCs w:val="18"/>
        </w:rPr>
        <w:t>$6.</w:t>
      </w:r>
      <w:r>
        <w:rPr>
          <w:rFonts w:cs="Calibri"/>
          <w:sz w:val="18"/>
          <w:szCs w:val="18"/>
        </w:rPr>
        <w:t>917</w:t>
      </w:r>
      <w:r w:rsidRPr="00EA61F6">
        <w:rPr>
          <w:rFonts w:cs="Calibri"/>
          <w:sz w:val="18"/>
          <w:szCs w:val="18"/>
        </w:rPr>
        <w:t xml:space="preserve"> </w:t>
      </w:r>
      <w:proofErr w:type="spellStart"/>
      <w:r w:rsidRPr="00EA61F6">
        <w:rPr>
          <w:rFonts w:cs="Calibri"/>
          <w:sz w:val="18"/>
          <w:szCs w:val="18"/>
        </w:rPr>
        <w:t>bln</w:t>
      </w:r>
      <w:proofErr w:type="spellEnd"/>
      <w:r w:rsidRPr="00EA61F6">
        <w:rPr>
          <w:rFonts w:cs="Calibri"/>
          <w:sz w:val="18"/>
          <w:szCs w:val="18"/>
        </w:rPr>
        <w:t xml:space="preserve">, </w:t>
      </w:r>
      <w:r>
        <w:rPr>
          <w:rFonts w:cs="Calibri"/>
          <w:sz w:val="18"/>
          <w:szCs w:val="18"/>
        </w:rPr>
        <w:t>-0.5</w:t>
      </w:r>
      <w:r w:rsidRPr="00EA61F6">
        <w:rPr>
          <w:rFonts w:cs="Calibri"/>
          <w:sz w:val="18"/>
          <w:szCs w:val="18"/>
        </w:rPr>
        <w:t>%</w:t>
      </w:r>
    </w:p>
    <w:p w14:paraId="41134D9C" w14:textId="02A2648A" w:rsidR="005B39A8" w:rsidRPr="005B39A8" w:rsidRDefault="005B39A8" w:rsidP="00FD5FB2">
      <w:pPr>
        <w:pStyle w:val="PPtext"/>
        <w:spacing w:before="60" w:line="216" w:lineRule="exact"/>
      </w:pPr>
      <w:r w:rsidRPr="005B39A8">
        <w:t>Total “controllable” compensation and benefit costs in October were $5.017 billion, 1.1% over plan and 0.7% higher than October 2022; total expenses were $6.908 billion.</w:t>
      </w:r>
      <w:r w:rsidR="00FD5FB2">
        <w:t xml:space="preserve">  </w:t>
      </w:r>
      <w:r w:rsidRPr="005B39A8">
        <w:t>Decreasing mail volume wasn’t reflected in workhour usage; workhours were 1.4% over plan, though 1.4% below October 2022.  Despite less work, the Postal Service is still expanding its complement, and committing to more career employees.</w:t>
      </w:r>
    </w:p>
    <w:p w14:paraId="1C9536CF" w14:textId="77777777" w:rsidR="005B39A8" w:rsidRPr="00EA61F6" w:rsidRDefault="005B39A8" w:rsidP="005B39A8">
      <w:pPr>
        <w:widowControl w:val="0"/>
        <w:tabs>
          <w:tab w:val="left" w:pos="144"/>
        </w:tabs>
        <w:spacing w:before="60" w:line="200" w:lineRule="exact"/>
        <w:ind w:left="144"/>
        <w:rPr>
          <w:sz w:val="18"/>
          <w:szCs w:val="18"/>
        </w:rPr>
      </w:pPr>
      <w:r w:rsidRPr="00EA61F6">
        <w:rPr>
          <w:sz w:val="18"/>
          <w:szCs w:val="18"/>
        </w:rPr>
        <w:t>Month’s end complement:</w:t>
      </w:r>
      <w:r>
        <w:rPr>
          <w:sz w:val="18"/>
          <w:szCs w:val="18"/>
        </w:rPr>
        <w:t xml:space="preserve"> </w:t>
      </w:r>
      <w:r w:rsidRPr="00EA61F6">
        <w:rPr>
          <w:sz w:val="18"/>
          <w:szCs w:val="18"/>
        </w:rPr>
        <w:t>6</w:t>
      </w:r>
      <w:r>
        <w:rPr>
          <w:sz w:val="18"/>
          <w:szCs w:val="18"/>
        </w:rPr>
        <w:t>42,747</w:t>
      </w:r>
      <w:r w:rsidRPr="00EA61F6">
        <w:rPr>
          <w:sz w:val="18"/>
          <w:szCs w:val="18"/>
        </w:rPr>
        <w:t xml:space="preserve"> employees (52</w:t>
      </w:r>
      <w:r>
        <w:rPr>
          <w:sz w:val="18"/>
          <w:szCs w:val="18"/>
        </w:rPr>
        <w:t>5,914</w:t>
      </w:r>
      <w:r w:rsidRPr="00EA61F6">
        <w:rPr>
          <w:sz w:val="18"/>
          <w:szCs w:val="18"/>
        </w:rPr>
        <w:t xml:space="preserve"> career, 11</w:t>
      </w:r>
      <w:r>
        <w:rPr>
          <w:sz w:val="18"/>
          <w:szCs w:val="18"/>
        </w:rPr>
        <w:t>6,833</w:t>
      </w:r>
      <w:r w:rsidRPr="00EA61F6">
        <w:rPr>
          <w:sz w:val="18"/>
          <w:szCs w:val="18"/>
        </w:rPr>
        <w:t xml:space="preserve"> non-career) </w:t>
      </w:r>
      <w:r w:rsidRPr="00EA61F6">
        <w:rPr>
          <w:b/>
          <w:color w:val="FF0000"/>
          <w:sz w:val="18"/>
          <w:szCs w:val="18"/>
        </w:rPr>
        <w:t>+0.</w:t>
      </w:r>
      <w:r>
        <w:rPr>
          <w:b/>
          <w:color w:val="FF0000"/>
          <w:sz w:val="18"/>
          <w:szCs w:val="18"/>
        </w:rPr>
        <w:t>90</w:t>
      </w:r>
      <w:r w:rsidRPr="00EA61F6">
        <w:rPr>
          <w:b/>
          <w:color w:val="FF0000"/>
          <w:sz w:val="18"/>
          <w:szCs w:val="18"/>
        </w:rPr>
        <w:t>%</w:t>
      </w:r>
      <w:r w:rsidRPr="00EA61F6">
        <w:rPr>
          <w:sz w:val="18"/>
          <w:szCs w:val="18"/>
        </w:rPr>
        <w:t xml:space="preserve"> compared to last </w:t>
      </w:r>
      <w:r>
        <w:rPr>
          <w:sz w:val="18"/>
          <w:szCs w:val="18"/>
        </w:rPr>
        <w:t>October</w:t>
      </w:r>
      <w:r w:rsidRPr="00EA61F6">
        <w:rPr>
          <w:sz w:val="18"/>
          <w:szCs w:val="18"/>
        </w:rPr>
        <w:t xml:space="preserve"> (63</w:t>
      </w:r>
      <w:r>
        <w:rPr>
          <w:sz w:val="18"/>
          <w:szCs w:val="18"/>
        </w:rPr>
        <w:t>7,020</w:t>
      </w:r>
      <w:r w:rsidRPr="00EA61F6">
        <w:rPr>
          <w:sz w:val="18"/>
          <w:szCs w:val="18"/>
        </w:rPr>
        <w:t xml:space="preserve"> employees: 5</w:t>
      </w:r>
      <w:r>
        <w:rPr>
          <w:sz w:val="18"/>
          <w:szCs w:val="18"/>
        </w:rPr>
        <w:t>16,619</w:t>
      </w:r>
      <w:r w:rsidRPr="00EA61F6">
        <w:rPr>
          <w:sz w:val="18"/>
          <w:szCs w:val="18"/>
        </w:rPr>
        <w:t xml:space="preserve"> career, 1</w:t>
      </w:r>
      <w:r>
        <w:rPr>
          <w:sz w:val="18"/>
          <w:szCs w:val="18"/>
        </w:rPr>
        <w:t>20,401</w:t>
      </w:r>
      <w:r w:rsidRPr="00EA61F6">
        <w:rPr>
          <w:sz w:val="18"/>
          <w:szCs w:val="18"/>
        </w:rPr>
        <w:t xml:space="preserve"> non-career), but </w:t>
      </w:r>
      <w:r>
        <w:rPr>
          <w:b/>
          <w:color w:val="FF0000"/>
          <w:sz w:val="18"/>
          <w:szCs w:val="18"/>
        </w:rPr>
        <w:t>1.8</w:t>
      </w:r>
      <w:r w:rsidRPr="00EA61F6">
        <w:rPr>
          <w:b/>
          <w:color w:val="FF0000"/>
          <w:sz w:val="18"/>
          <w:szCs w:val="18"/>
        </w:rPr>
        <w:t>% more</w:t>
      </w:r>
      <w:r w:rsidRPr="00EA61F6">
        <w:rPr>
          <w:bCs/>
          <w:sz w:val="18"/>
          <w:szCs w:val="18"/>
        </w:rPr>
        <w:t xml:space="preserve"> </w:t>
      </w:r>
      <w:r w:rsidRPr="00EA61F6">
        <w:rPr>
          <w:i/>
          <w:sz w:val="18"/>
          <w:szCs w:val="18"/>
        </w:rPr>
        <w:t>career</w:t>
      </w:r>
      <w:r w:rsidRPr="00EA61F6">
        <w:rPr>
          <w:sz w:val="18"/>
          <w:szCs w:val="18"/>
        </w:rPr>
        <w:t xml:space="preserve"> workers.</w:t>
      </w:r>
    </w:p>
    <w:p w14:paraId="1EB4627F" w14:textId="23647493" w:rsidR="000D5C5C" w:rsidRPr="005B39A8" w:rsidRDefault="005B39A8" w:rsidP="005B39A8">
      <w:pPr>
        <w:widowControl w:val="0"/>
        <w:spacing w:before="60" w:line="200" w:lineRule="exact"/>
        <w:rPr>
          <w:rFonts w:ascii="Calibri" w:eastAsia="Times New Roman" w:hAnsi="Calibri" w:cs="Calibri"/>
          <w:sz w:val="20"/>
          <w:szCs w:val="20"/>
        </w:rPr>
      </w:pPr>
      <w:r w:rsidRPr="00FD5FB2">
        <w:rPr>
          <w:rFonts w:ascii="Calibri" w:eastAsia="Times New Roman" w:hAnsi="Calibri" w:cs="Calibri"/>
          <w:sz w:val="20"/>
          <w:szCs w:val="20"/>
        </w:rPr>
        <w:t>Compared to pre-pandemic October 2019, total USPS volume was down 18.97% (market dominant 20.22% lower;</w:t>
      </w:r>
      <w:r w:rsidRPr="005B39A8">
        <w:rPr>
          <w:rFonts w:cs="Calibri"/>
          <w:sz w:val="20"/>
          <w:szCs w:val="20"/>
        </w:rPr>
        <w:t xml:space="preserve"> competitive up 22.51%), while revenue, after many price increases, was up only 11.75%.  Despite significantly lower volume, total workhours were only 3.37% lower than three years </w:t>
      </w:r>
      <w:proofErr w:type="gramStart"/>
      <w:r w:rsidRPr="005B39A8">
        <w:rPr>
          <w:rFonts w:cs="Calibri"/>
          <w:sz w:val="20"/>
          <w:szCs w:val="20"/>
        </w:rPr>
        <w:t>ago.</w:t>
      </w:r>
      <w:r w:rsidR="00347D64" w:rsidRPr="005B39A8">
        <w:rPr>
          <w:rFonts w:ascii="Calibri" w:eastAsia="Times New Roman" w:hAnsi="Calibri" w:cs="Calibri"/>
          <w:sz w:val="20"/>
          <w:szCs w:val="20"/>
        </w:rPr>
        <w:t>.</w:t>
      </w:r>
      <w:proofErr w:type="gramEnd"/>
    </w:p>
    <w:p w14:paraId="5A230054" w14:textId="77777777" w:rsidR="00332093" w:rsidRPr="00134CD7" w:rsidRDefault="00332093" w:rsidP="000F0086">
      <w:pPr>
        <w:pStyle w:val="PPtext"/>
      </w:pPr>
    </w:p>
    <w:p w14:paraId="7B26B14D" w14:textId="2E62C082" w:rsidR="00B61CF4" w:rsidRPr="00CC50A9" w:rsidRDefault="00B9000F" w:rsidP="00F4630D">
      <w:pPr>
        <w:pBdr>
          <w:top w:val="single" w:sz="4" w:space="4" w:color="165788" w:themeColor="text1"/>
          <w:left w:val="single" w:sz="4" w:space="4" w:color="165788" w:themeColor="text1"/>
          <w:bottom w:val="single" w:sz="4" w:space="4" w:color="165788" w:themeColor="text1"/>
          <w:right w:val="single" w:sz="4" w:space="4" w:color="165788" w:themeColor="text1"/>
        </w:pBdr>
        <w:spacing w:after="80" w:line="180" w:lineRule="exact"/>
        <w:rPr>
          <w:color w:val="165788" w:themeColor="text1"/>
          <w:sz w:val="16"/>
          <w:szCs w:val="16"/>
        </w:rPr>
      </w:pPr>
      <w:r w:rsidRPr="00B9000F">
        <w:rPr>
          <w:bCs/>
          <w:i/>
          <w:color w:val="165788" w:themeColor="text1"/>
          <w:sz w:val="16"/>
          <w:szCs w:val="16"/>
        </w:rPr>
        <w:t xml:space="preserve">Mailers Hub </w:t>
      </w:r>
      <w:proofErr w:type="spellStart"/>
      <w:r w:rsidRPr="00B9000F">
        <w:rPr>
          <w:bCs/>
          <w:i/>
          <w:color w:val="165788" w:themeColor="text1"/>
          <w:sz w:val="16"/>
          <w:szCs w:val="16"/>
        </w:rPr>
        <w:t>News</w:t>
      </w:r>
      <w:r w:rsidRPr="00B9000F">
        <w:rPr>
          <w:color w:val="165788" w:themeColor="text1"/>
          <w:sz w:val="16"/>
          <w:szCs w:val="16"/>
          <w:vertAlign w:val="superscript"/>
        </w:rPr>
        <w:t>TM</w:t>
      </w:r>
      <w:proofErr w:type="spellEnd"/>
      <w:r w:rsidRPr="00B9000F">
        <w:rPr>
          <w:bCs/>
          <w:color w:val="165788" w:themeColor="text1"/>
          <w:sz w:val="16"/>
          <w:szCs w:val="16"/>
        </w:rPr>
        <w:t xml:space="preserve"> </w:t>
      </w:r>
      <w:r>
        <w:rPr>
          <w:bCs/>
          <w:color w:val="165788" w:themeColor="text1"/>
          <w:sz w:val="16"/>
          <w:szCs w:val="16"/>
        </w:rPr>
        <w:t>and this summary are</w:t>
      </w:r>
      <w:r w:rsidRPr="00B9000F">
        <w:rPr>
          <w:bCs/>
          <w:color w:val="165788" w:themeColor="text1"/>
          <w:sz w:val="16"/>
          <w:szCs w:val="16"/>
        </w:rPr>
        <w:t xml:space="preserve"> produced by Mailers Hub LLC and provided to subscribers as part of their subscription.</w:t>
      </w:r>
      <w:r>
        <w:rPr>
          <w:bCs/>
          <w:color w:val="165788" w:themeColor="text1"/>
          <w:sz w:val="16"/>
          <w:szCs w:val="16"/>
        </w:rPr>
        <w:t xml:space="preserve">  </w:t>
      </w:r>
      <w:r w:rsidRPr="00B9000F">
        <w:rPr>
          <w:bCs/>
          <w:color w:val="165788" w:themeColor="text1"/>
          <w:sz w:val="16"/>
          <w:szCs w:val="16"/>
        </w:rPr>
        <w:t xml:space="preserve">No part of </w:t>
      </w:r>
      <w:r w:rsidRPr="00B9000F">
        <w:rPr>
          <w:bCs/>
          <w:i/>
          <w:color w:val="165788" w:themeColor="text1"/>
          <w:sz w:val="16"/>
          <w:szCs w:val="16"/>
        </w:rPr>
        <w:t>Mailers Hub News</w:t>
      </w:r>
      <w:r w:rsidRPr="00B9000F">
        <w:rPr>
          <w:bCs/>
          <w:color w:val="165788" w:themeColor="text1"/>
          <w:sz w:val="16"/>
          <w:szCs w:val="16"/>
        </w:rPr>
        <w:t xml:space="preserve"> </w:t>
      </w:r>
      <w:r>
        <w:rPr>
          <w:bCs/>
          <w:color w:val="165788" w:themeColor="text1"/>
          <w:sz w:val="16"/>
          <w:szCs w:val="16"/>
        </w:rPr>
        <w:t xml:space="preserve">or this summary </w:t>
      </w:r>
      <w:r w:rsidRPr="00B9000F">
        <w:rPr>
          <w:bCs/>
          <w:color w:val="165788" w:themeColor="text1"/>
          <w:sz w:val="16"/>
          <w:szCs w:val="16"/>
        </w:rPr>
        <w:t>may be reproduced or redistributed without the express consent of Mailers Hub LLC.  Copyright © 2016-202</w:t>
      </w:r>
      <w:r w:rsidR="00DD5B8B">
        <w:rPr>
          <w:bCs/>
          <w:color w:val="165788" w:themeColor="text1"/>
          <w:sz w:val="16"/>
          <w:szCs w:val="16"/>
        </w:rPr>
        <w:t>3</w:t>
      </w:r>
      <w:r w:rsidRPr="00B9000F">
        <w:rPr>
          <w:bCs/>
          <w:color w:val="165788" w:themeColor="text1"/>
          <w:sz w:val="16"/>
          <w:szCs w:val="16"/>
        </w:rPr>
        <w:t xml:space="preserve"> Mailers Hub LLC.  All rights reserved.</w:t>
      </w:r>
    </w:p>
    <w:sectPr w:rsidR="00B61CF4" w:rsidRPr="00CC50A9" w:rsidSect="00C32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erriweather Black">
    <w:panose1 w:val="00000A00000000000000"/>
    <w:charset w:val="4D"/>
    <w:family w:val="auto"/>
    <w:pitch w:val="variable"/>
    <w:sig w:usb0="20000207" w:usb1="00000002"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1C74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E095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22F5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6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E2D9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7815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56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6EF5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E97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FC90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F703E"/>
    <w:multiLevelType w:val="hybridMultilevel"/>
    <w:tmpl w:val="7DF0D46E"/>
    <w:lvl w:ilvl="0" w:tplc="2AB6E82E">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10316001"/>
    <w:multiLevelType w:val="hybridMultilevel"/>
    <w:tmpl w:val="C7C8B9D6"/>
    <w:lvl w:ilvl="0" w:tplc="4C0A7F9C">
      <w:start w:val="1"/>
      <w:numFmt w:val="bullet"/>
      <w:lvlText w:val=""/>
      <w:lvlJc w:val="left"/>
      <w:pPr>
        <w:ind w:left="360" w:hanging="360"/>
      </w:pPr>
      <w:rPr>
        <w:rFonts w:ascii="Symbol" w:hAnsi="Symbol" w:hint="default"/>
        <w:b w:val="0"/>
        <w:bCs w:val="0"/>
        <w:i w:val="0"/>
        <w:iCs w:val="0"/>
        <w:caps w:val="0"/>
        <w:strike w:val="0"/>
        <w:dstrike w:val="0"/>
        <w:vanish w:val="0"/>
        <w:color w:val="000000"/>
        <w:sz w:val="18"/>
        <w:szCs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427AA5"/>
    <w:multiLevelType w:val="hybridMultilevel"/>
    <w:tmpl w:val="B616FD82"/>
    <w:lvl w:ilvl="0" w:tplc="6B6EF79E">
      <w:start w:val="1"/>
      <w:numFmt w:val="bullet"/>
      <w:pStyle w:val="PP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175A6D"/>
    <w:multiLevelType w:val="multilevel"/>
    <w:tmpl w:val="04090023"/>
    <w:styleLink w:val="1ai91031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90C1C1E"/>
    <w:multiLevelType w:val="hybridMultilevel"/>
    <w:tmpl w:val="803CFE9C"/>
    <w:lvl w:ilvl="0" w:tplc="689EFA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7D0F5F"/>
    <w:multiLevelType w:val="hybridMultilevel"/>
    <w:tmpl w:val="B26A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52A5C"/>
    <w:multiLevelType w:val="multilevel"/>
    <w:tmpl w:val="772C60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8BA389B"/>
    <w:multiLevelType w:val="hybridMultilevel"/>
    <w:tmpl w:val="876CB37C"/>
    <w:lvl w:ilvl="0" w:tplc="CD2E024C">
      <w:start w:val="1"/>
      <w:numFmt w:val="bullet"/>
      <w:lvlText w:val=""/>
      <w:lvlJc w:val="left"/>
      <w:pPr>
        <w:ind w:left="360" w:hanging="360"/>
      </w:pPr>
      <w:rPr>
        <w:rFonts w:ascii="Symbol" w:hAnsi="Symbol" w:hint="default"/>
        <w:b w:val="0"/>
        <w:bCs w:val="0"/>
        <w:i w:val="0"/>
        <w:iCs w:val="0"/>
        <w:caps w:val="0"/>
        <w:strike w:val="0"/>
        <w:dstrike w:val="0"/>
        <w:vanish w:val="0"/>
        <w:color w:val="000000"/>
        <w:w w:val="100"/>
        <w:sz w:val="18"/>
        <w:szCs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E3F1D"/>
    <w:multiLevelType w:val="hybridMultilevel"/>
    <w:tmpl w:val="E4CE3C60"/>
    <w:lvl w:ilvl="0" w:tplc="70DABE08">
      <w:start w:val="1"/>
      <w:numFmt w:val="bullet"/>
      <w:pStyle w:val="PPlist2ndlevel"/>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430D5"/>
    <w:multiLevelType w:val="hybridMultilevel"/>
    <w:tmpl w:val="517EAF64"/>
    <w:lvl w:ilvl="0" w:tplc="8F286D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4A13D0"/>
    <w:multiLevelType w:val="multilevel"/>
    <w:tmpl w:val="1748837E"/>
    <w:lvl w:ilvl="0">
      <w:start w:val="1"/>
      <w:numFmt w:val="bullet"/>
      <w:pStyle w:val="Heading1"/>
      <w:lvlText w:val=""/>
      <w:lvlJc w:val="left"/>
      <w:pPr>
        <w:tabs>
          <w:tab w:val="num" w:pos="720"/>
        </w:tabs>
        <w:ind w:left="720" w:hanging="360"/>
      </w:pPr>
      <w:rPr>
        <w:rFonts w:ascii="Symbol" w:hAnsi="Symbol" w:hint="default"/>
        <w:sz w:val="20"/>
      </w:rPr>
    </w:lvl>
    <w:lvl w:ilvl="1">
      <w:start w:val="1"/>
      <w:numFmt w:val="bullet"/>
      <w:pStyle w:val="Heading2"/>
      <w:lvlText w:val=""/>
      <w:lvlJc w:val="left"/>
      <w:pPr>
        <w:tabs>
          <w:tab w:val="num" w:pos="1440"/>
        </w:tabs>
        <w:ind w:left="1440" w:hanging="360"/>
      </w:pPr>
      <w:rPr>
        <w:rFonts w:ascii="Symbol" w:hAnsi="Symbol" w:hint="default"/>
        <w:sz w:val="20"/>
      </w:rPr>
    </w:lvl>
    <w:lvl w:ilvl="2">
      <w:start w:val="1"/>
      <w:numFmt w:val="bullet"/>
      <w:pStyle w:val="Heading3"/>
      <w:lvlText w:val=""/>
      <w:lvlJc w:val="left"/>
      <w:pPr>
        <w:tabs>
          <w:tab w:val="num" w:pos="2160"/>
        </w:tabs>
        <w:ind w:left="2160" w:hanging="360"/>
      </w:pPr>
      <w:rPr>
        <w:rFonts w:ascii="Symbol" w:hAnsi="Symbol" w:hint="default"/>
        <w:sz w:val="20"/>
      </w:rPr>
    </w:lvl>
    <w:lvl w:ilvl="3">
      <w:start w:val="1"/>
      <w:numFmt w:val="bullet"/>
      <w:pStyle w:val="Heading4"/>
      <w:lvlText w:val=""/>
      <w:lvlJc w:val="left"/>
      <w:pPr>
        <w:tabs>
          <w:tab w:val="num" w:pos="2880"/>
        </w:tabs>
        <w:ind w:left="2880" w:hanging="360"/>
      </w:pPr>
      <w:rPr>
        <w:rFonts w:ascii="Symbol" w:hAnsi="Symbol" w:hint="default"/>
        <w:sz w:val="20"/>
      </w:rPr>
    </w:lvl>
    <w:lvl w:ilvl="4">
      <w:start w:val="1"/>
      <w:numFmt w:val="bullet"/>
      <w:pStyle w:val="Heading5"/>
      <w:lvlText w:val=""/>
      <w:lvlJc w:val="left"/>
      <w:pPr>
        <w:tabs>
          <w:tab w:val="num" w:pos="3600"/>
        </w:tabs>
        <w:ind w:left="3600" w:hanging="360"/>
      </w:pPr>
      <w:rPr>
        <w:rFonts w:ascii="Symbol" w:hAnsi="Symbol" w:hint="default"/>
        <w:sz w:val="20"/>
      </w:rPr>
    </w:lvl>
    <w:lvl w:ilvl="5" w:tentative="1">
      <w:start w:val="1"/>
      <w:numFmt w:val="bullet"/>
      <w:pStyle w:val="Heading6"/>
      <w:lvlText w:val=""/>
      <w:lvlJc w:val="left"/>
      <w:pPr>
        <w:tabs>
          <w:tab w:val="num" w:pos="4320"/>
        </w:tabs>
        <w:ind w:left="4320" w:hanging="360"/>
      </w:pPr>
      <w:rPr>
        <w:rFonts w:ascii="Symbol" w:hAnsi="Symbol" w:hint="default"/>
        <w:sz w:val="20"/>
      </w:rPr>
    </w:lvl>
    <w:lvl w:ilvl="6" w:tentative="1">
      <w:start w:val="1"/>
      <w:numFmt w:val="bullet"/>
      <w:pStyle w:val="Heading7"/>
      <w:lvlText w:val=""/>
      <w:lvlJc w:val="left"/>
      <w:pPr>
        <w:tabs>
          <w:tab w:val="num" w:pos="5040"/>
        </w:tabs>
        <w:ind w:left="5040" w:hanging="360"/>
      </w:pPr>
      <w:rPr>
        <w:rFonts w:ascii="Symbol" w:hAnsi="Symbol" w:hint="default"/>
        <w:sz w:val="20"/>
      </w:rPr>
    </w:lvl>
    <w:lvl w:ilvl="7">
      <w:start w:val="1"/>
      <w:numFmt w:val="bullet"/>
      <w:pStyle w:val="Heading8"/>
      <w:lvlText w:val=""/>
      <w:lvlJc w:val="left"/>
      <w:pPr>
        <w:tabs>
          <w:tab w:val="num" w:pos="5760"/>
        </w:tabs>
        <w:ind w:left="5760" w:hanging="360"/>
      </w:pPr>
      <w:rPr>
        <w:rFonts w:ascii="Symbol" w:hAnsi="Symbol" w:hint="default"/>
        <w:sz w:val="20"/>
      </w:rPr>
    </w:lvl>
    <w:lvl w:ilvl="8" w:tentative="1">
      <w:start w:val="1"/>
      <w:numFmt w:val="bullet"/>
      <w:pStyle w:val="Heading9"/>
      <w:lvlText w:val=""/>
      <w:lvlJc w:val="left"/>
      <w:pPr>
        <w:tabs>
          <w:tab w:val="num" w:pos="6480"/>
        </w:tabs>
        <w:ind w:left="6480" w:hanging="360"/>
      </w:pPr>
      <w:rPr>
        <w:rFonts w:ascii="Symbol" w:hAnsi="Symbol" w:hint="default"/>
        <w:sz w:val="20"/>
      </w:rPr>
    </w:lvl>
  </w:abstractNum>
  <w:num w:numId="1" w16cid:durableId="1903170778">
    <w:abstractNumId w:val="12"/>
  </w:num>
  <w:num w:numId="2" w16cid:durableId="52312905">
    <w:abstractNumId w:val="9"/>
  </w:num>
  <w:num w:numId="3" w16cid:durableId="1105274927">
    <w:abstractNumId w:val="7"/>
  </w:num>
  <w:num w:numId="4" w16cid:durableId="1993557815">
    <w:abstractNumId w:val="6"/>
  </w:num>
  <w:num w:numId="5" w16cid:durableId="1062826968">
    <w:abstractNumId w:val="5"/>
  </w:num>
  <w:num w:numId="6" w16cid:durableId="1589804339">
    <w:abstractNumId w:val="4"/>
  </w:num>
  <w:num w:numId="7" w16cid:durableId="1873105912">
    <w:abstractNumId w:val="8"/>
  </w:num>
  <w:num w:numId="8" w16cid:durableId="1260455146">
    <w:abstractNumId w:val="3"/>
  </w:num>
  <w:num w:numId="9" w16cid:durableId="1089741036">
    <w:abstractNumId w:val="2"/>
  </w:num>
  <w:num w:numId="10" w16cid:durableId="1642805016">
    <w:abstractNumId w:val="1"/>
  </w:num>
  <w:num w:numId="11" w16cid:durableId="1533230432">
    <w:abstractNumId w:val="0"/>
  </w:num>
  <w:num w:numId="12" w16cid:durableId="1841702237">
    <w:abstractNumId w:val="15"/>
  </w:num>
  <w:num w:numId="13" w16cid:durableId="336077990">
    <w:abstractNumId w:val="19"/>
  </w:num>
  <w:num w:numId="14" w16cid:durableId="1141651789">
    <w:abstractNumId w:val="19"/>
  </w:num>
  <w:num w:numId="15" w16cid:durableId="626813926">
    <w:abstractNumId w:val="11"/>
    <w:lvlOverride w:ilvl="0">
      <w:lvl w:ilvl="0" w:tplc="4C0A7F9C">
        <w:start w:val="1"/>
        <w:numFmt w:val="bullet"/>
        <w:lvlText w:val=""/>
        <w:lvlJc w:val="left"/>
        <w:pPr>
          <w:ind w:left="360" w:hanging="360"/>
        </w:pPr>
        <w:rPr>
          <w:rFonts w:ascii="Symbol" w:hAnsi="Symbol" w:hint="default"/>
          <w:b w:val="0"/>
          <w:bCs w:val="0"/>
          <w:i w:val="0"/>
          <w:iCs w:val="0"/>
          <w:caps w:val="0"/>
          <w:strike w:val="0"/>
          <w:dstrike w:val="0"/>
          <w:vanish w:val="0"/>
          <w:color w:val="000000"/>
          <w:sz w:val="18"/>
          <w:szCs w:val="18"/>
          <w:vertAlign w:val="baseline"/>
        </w:rPr>
      </w:lvl>
    </w:lvlOverride>
  </w:num>
  <w:num w:numId="16" w16cid:durableId="1927104844">
    <w:abstractNumId w:val="20"/>
  </w:num>
  <w:num w:numId="17" w16cid:durableId="1004209587">
    <w:abstractNumId w:val="18"/>
  </w:num>
  <w:num w:numId="18" w16cid:durableId="2085760495">
    <w:abstractNumId w:val="13"/>
  </w:num>
  <w:num w:numId="19" w16cid:durableId="700975855">
    <w:abstractNumId w:val="11"/>
    <w:lvlOverride w:ilvl="0">
      <w:lvl w:ilvl="0" w:tplc="4C0A7F9C">
        <w:start w:val="1"/>
        <w:numFmt w:val="bullet"/>
        <w:lvlText w:val=""/>
        <w:lvlJc w:val="left"/>
        <w:pPr>
          <w:ind w:left="360" w:hanging="360"/>
        </w:pPr>
        <w:rPr>
          <w:rFonts w:ascii="Symbol" w:hAnsi="Symbol" w:hint="default"/>
          <w:b w:val="0"/>
          <w:bCs w:val="0"/>
          <w:i w:val="0"/>
          <w:iCs w:val="0"/>
          <w:caps w:val="0"/>
          <w:strike w:val="0"/>
          <w:dstrike w:val="0"/>
          <w:vanish w:val="0"/>
          <w:color w:val="000000"/>
          <w:sz w:val="18"/>
          <w:szCs w:val="18"/>
          <w:vertAlign w:val="baseline"/>
        </w:rPr>
      </w:lvl>
    </w:lvlOverride>
  </w:num>
  <w:num w:numId="20" w16cid:durableId="208302126">
    <w:abstractNumId w:val="17"/>
  </w:num>
  <w:num w:numId="21" w16cid:durableId="1868906089">
    <w:abstractNumId w:val="11"/>
  </w:num>
  <w:num w:numId="22" w16cid:durableId="1861161301">
    <w:abstractNumId w:val="16"/>
  </w:num>
  <w:num w:numId="23" w16cid:durableId="1613785044">
    <w:abstractNumId w:val="10"/>
  </w:num>
  <w:num w:numId="24" w16cid:durableId="12555536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2D"/>
    <w:rsid w:val="00002E76"/>
    <w:rsid w:val="000032BF"/>
    <w:rsid w:val="00005DEA"/>
    <w:rsid w:val="000068A4"/>
    <w:rsid w:val="000111E7"/>
    <w:rsid w:val="000127AD"/>
    <w:rsid w:val="00012F19"/>
    <w:rsid w:val="00015001"/>
    <w:rsid w:val="00016B6B"/>
    <w:rsid w:val="00017FA1"/>
    <w:rsid w:val="00025CFE"/>
    <w:rsid w:val="00027D83"/>
    <w:rsid w:val="0003138E"/>
    <w:rsid w:val="00031591"/>
    <w:rsid w:val="00032377"/>
    <w:rsid w:val="00036EFA"/>
    <w:rsid w:val="0003711D"/>
    <w:rsid w:val="0004147B"/>
    <w:rsid w:val="000421DE"/>
    <w:rsid w:val="00043B88"/>
    <w:rsid w:val="000508BF"/>
    <w:rsid w:val="00055E1F"/>
    <w:rsid w:val="00056065"/>
    <w:rsid w:val="00062B9D"/>
    <w:rsid w:val="000668BA"/>
    <w:rsid w:val="000673FC"/>
    <w:rsid w:val="000727FB"/>
    <w:rsid w:val="00072926"/>
    <w:rsid w:val="00074757"/>
    <w:rsid w:val="00077742"/>
    <w:rsid w:val="000906F5"/>
    <w:rsid w:val="00090E4B"/>
    <w:rsid w:val="0009141E"/>
    <w:rsid w:val="00097D38"/>
    <w:rsid w:val="00097F4B"/>
    <w:rsid w:val="000A1764"/>
    <w:rsid w:val="000A2C3E"/>
    <w:rsid w:val="000A5810"/>
    <w:rsid w:val="000A7F87"/>
    <w:rsid w:val="000B01FC"/>
    <w:rsid w:val="000B111D"/>
    <w:rsid w:val="000C7C16"/>
    <w:rsid w:val="000D36A0"/>
    <w:rsid w:val="000D57C5"/>
    <w:rsid w:val="000D5C5C"/>
    <w:rsid w:val="000E0D36"/>
    <w:rsid w:val="000E5271"/>
    <w:rsid w:val="000E582A"/>
    <w:rsid w:val="000F0086"/>
    <w:rsid w:val="001021C0"/>
    <w:rsid w:val="00102D25"/>
    <w:rsid w:val="001030E2"/>
    <w:rsid w:val="00110D95"/>
    <w:rsid w:val="001113C4"/>
    <w:rsid w:val="001124B6"/>
    <w:rsid w:val="00117146"/>
    <w:rsid w:val="00121F28"/>
    <w:rsid w:val="00124AAA"/>
    <w:rsid w:val="00125A82"/>
    <w:rsid w:val="0013327C"/>
    <w:rsid w:val="00134CD7"/>
    <w:rsid w:val="00136ACF"/>
    <w:rsid w:val="00136F78"/>
    <w:rsid w:val="0013780A"/>
    <w:rsid w:val="001404C8"/>
    <w:rsid w:val="001431F3"/>
    <w:rsid w:val="00143B28"/>
    <w:rsid w:val="00143F31"/>
    <w:rsid w:val="00147CBD"/>
    <w:rsid w:val="00153A46"/>
    <w:rsid w:val="00154A23"/>
    <w:rsid w:val="00154AEA"/>
    <w:rsid w:val="00155909"/>
    <w:rsid w:val="00155B56"/>
    <w:rsid w:val="00156AC7"/>
    <w:rsid w:val="00161CB1"/>
    <w:rsid w:val="00162DBB"/>
    <w:rsid w:val="00166515"/>
    <w:rsid w:val="001673D9"/>
    <w:rsid w:val="00167432"/>
    <w:rsid w:val="00177399"/>
    <w:rsid w:val="001846DF"/>
    <w:rsid w:val="001855EB"/>
    <w:rsid w:val="00185739"/>
    <w:rsid w:val="00185F64"/>
    <w:rsid w:val="0018612B"/>
    <w:rsid w:val="0018696B"/>
    <w:rsid w:val="00190834"/>
    <w:rsid w:val="001916B9"/>
    <w:rsid w:val="00192C9A"/>
    <w:rsid w:val="001A1896"/>
    <w:rsid w:val="001A3053"/>
    <w:rsid w:val="001B26D7"/>
    <w:rsid w:val="001B3E15"/>
    <w:rsid w:val="001B46D4"/>
    <w:rsid w:val="001C4D66"/>
    <w:rsid w:val="001D09FF"/>
    <w:rsid w:val="001D189F"/>
    <w:rsid w:val="001D3A82"/>
    <w:rsid w:val="001D56DD"/>
    <w:rsid w:val="001D6406"/>
    <w:rsid w:val="001D7021"/>
    <w:rsid w:val="001E0102"/>
    <w:rsid w:val="001E0D00"/>
    <w:rsid w:val="001E1337"/>
    <w:rsid w:val="001E581A"/>
    <w:rsid w:val="001E77B6"/>
    <w:rsid w:val="001F0E9E"/>
    <w:rsid w:val="001F3045"/>
    <w:rsid w:val="0020224C"/>
    <w:rsid w:val="002069DF"/>
    <w:rsid w:val="00213F6F"/>
    <w:rsid w:val="00215861"/>
    <w:rsid w:val="002160BF"/>
    <w:rsid w:val="00216F9D"/>
    <w:rsid w:val="0022321A"/>
    <w:rsid w:val="002272ED"/>
    <w:rsid w:val="00230C3B"/>
    <w:rsid w:val="0023219B"/>
    <w:rsid w:val="00232ED7"/>
    <w:rsid w:val="00235526"/>
    <w:rsid w:val="00235F5C"/>
    <w:rsid w:val="00235FF9"/>
    <w:rsid w:val="0025180F"/>
    <w:rsid w:val="0025512B"/>
    <w:rsid w:val="0026089E"/>
    <w:rsid w:val="00260B4C"/>
    <w:rsid w:val="00270992"/>
    <w:rsid w:val="0027300D"/>
    <w:rsid w:val="002743D3"/>
    <w:rsid w:val="00276C12"/>
    <w:rsid w:val="00291363"/>
    <w:rsid w:val="002925A4"/>
    <w:rsid w:val="002940A0"/>
    <w:rsid w:val="002971F5"/>
    <w:rsid w:val="002977B9"/>
    <w:rsid w:val="00297E90"/>
    <w:rsid w:val="002A0E96"/>
    <w:rsid w:val="002A23A3"/>
    <w:rsid w:val="002A6795"/>
    <w:rsid w:val="002A74C1"/>
    <w:rsid w:val="002B0180"/>
    <w:rsid w:val="002B115A"/>
    <w:rsid w:val="002B54C0"/>
    <w:rsid w:val="002C6997"/>
    <w:rsid w:val="002D0986"/>
    <w:rsid w:val="002D0E29"/>
    <w:rsid w:val="002D2309"/>
    <w:rsid w:val="002D68AE"/>
    <w:rsid w:val="002E194C"/>
    <w:rsid w:val="002E4B4E"/>
    <w:rsid w:val="002E669B"/>
    <w:rsid w:val="002F0CC9"/>
    <w:rsid w:val="002F1305"/>
    <w:rsid w:val="002F1EAF"/>
    <w:rsid w:val="002F2605"/>
    <w:rsid w:val="002F3853"/>
    <w:rsid w:val="003002D2"/>
    <w:rsid w:val="00306353"/>
    <w:rsid w:val="00311009"/>
    <w:rsid w:val="00312B08"/>
    <w:rsid w:val="003142A7"/>
    <w:rsid w:val="00317456"/>
    <w:rsid w:val="00320E6B"/>
    <w:rsid w:val="00326D7F"/>
    <w:rsid w:val="00332093"/>
    <w:rsid w:val="003331C7"/>
    <w:rsid w:val="0033519E"/>
    <w:rsid w:val="0033594F"/>
    <w:rsid w:val="00337F0F"/>
    <w:rsid w:val="00346C15"/>
    <w:rsid w:val="0034745C"/>
    <w:rsid w:val="00347631"/>
    <w:rsid w:val="00347D64"/>
    <w:rsid w:val="00357700"/>
    <w:rsid w:val="003610FF"/>
    <w:rsid w:val="00361EF8"/>
    <w:rsid w:val="003627E9"/>
    <w:rsid w:val="0036474B"/>
    <w:rsid w:val="00364CBF"/>
    <w:rsid w:val="003653A3"/>
    <w:rsid w:val="0036782F"/>
    <w:rsid w:val="00371300"/>
    <w:rsid w:val="00372297"/>
    <w:rsid w:val="0037492E"/>
    <w:rsid w:val="00377463"/>
    <w:rsid w:val="0037780D"/>
    <w:rsid w:val="00381A5E"/>
    <w:rsid w:val="00383646"/>
    <w:rsid w:val="00385A17"/>
    <w:rsid w:val="00385EE6"/>
    <w:rsid w:val="00391C06"/>
    <w:rsid w:val="003963B0"/>
    <w:rsid w:val="00396427"/>
    <w:rsid w:val="003A28FB"/>
    <w:rsid w:val="003B1186"/>
    <w:rsid w:val="003B46E8"/>
    <w:rsid w:val="003B46FF"/>
    <w:rsid w:val="003B7292"/>
    <w:rsid w:val="003B7300"/>
    <w:rsid w:val="003C1DF2"/>
    <w:rsid w:val="003C3CF0"/>
    <w:rsid w:val="003C4DFA"/>
    <w:rsid w:val="003C504B"/>
    <w:rsid w:val="003C7CB1"/>
    <w:rsid w:val="003D1160"/>
    <w:rsid w:val="003D1762"/>
    <w:rsid w:val="003D2D21"/>
    <w:rsid w:val="003D4949"/>
    <w:rsid w:val="003D6DE6"/>
    <w:rsid w:val="003E0F3E"/>
    <w:rsid w:val="003E3C5F"/>
    <w:rsid w:val="003E67BA"/>
    <w:rsid w:val="003F11DC"/>
    <w:rsid w:val="00400F1C"/>
    <w:rsid w:val="004011B5"/>
    <w:rsid w:val="00403088"/>
    <w:rsid w:val="00404FA0"/>
    <w:rsid w:val="004077BF"/>
    <w:rsid w:val="00407BDB"/>
    <w:rsid w:val="004116E0"/>
    <w:rsid w:val="004125EA"/>
    <w:rsid w:val="004161BC"/>
    <w:rsid w:val="004163E4"/>
    <w:rsid w:val="00416F59"/>
    <w:rsid w:val="00420F2C"/>
    <w:rsid w:val="00421132"/>
    <w:rsid w:val="00421A17"/>
    <w:rsid w:val="00425E76"/>
    <w:rsid w:val="004315CD"/>
    <w:rsid w:val="00432607"/>
    <w:rsid w:val="00442B38"/>
    <w:rsid w:val="0044497E"/>
    <w:rsid w:val="00445F7C"/>
    <w:rsid w:val="00450BEC"/>
    <w:rsid w:val="00457694"/>
    <w:rsid w:val="004579DB"/>
    <w:rsid w:val="004623CC"/>
    <w:rsid w:val="00466421"/>
    <w:rsid w:val="00467E50"/>
    <w:rsid w:val="004712C2"/>
    <w:rsid w:val="004721B8"/>
    <w:rsid w:val="0047298D"/>
    <w:rsid w:val="00474BFD"/>
    <w:rsid w:val="0047797A"/>
    <w:rsid w:val="00481E9E"/>
    <w:rsid w:val="00482BC6"/>
    <w:rsid w:val="004837D6"/>
    <w:rsid w:val="00484675"/>
    <w:rsid w:val="00485AEC"/>
    <w:rsid w:val="00494BE3"/>
    <w:rsid w:val="004A1992"/>
    <w:rsid w:val="004A433D"/>
    <w:rsid w:val="004A515A"/>
    <w:rsid w:val="004B08A3"/>
    <w:rsid w:val="004B14DD"/>
    <w:rsid w:val="004B4A2F"/>
    <w:rsid w:val="004C16EF"/>
    <w:rsid w:val="004C29AE"/>
    <w:rsid w:val="004D0AF6"/>
    <w:rsid w:val="004D2119"/>
    <w:rsid w:val="004D3172"/>
    <w:rsid w:val="004D4524"/>
    <w:rsid w:val="004D5928"/>
    <w:rsid w:val="004D68E1"/>
    <w:rsid w:val="004F2DA0"/>
    <w:rsid w:val="004F5E13"/>
    <w:rsid w:val="004F6BBD"/>
    <w:rsid w:val="004F7D1D"/>
    <w:rsid w:val="005014A9"/>
    <w:rsid w:val="005043D0"/>
    <w:rsid w:val="0050710C"/>
    <w:rsid w:val="00512493"/>
    <w:rsid w:val="0051487A"/>
    <w:rsid w:val="00515337"/>
    <w:rsid w:val="005157DB"/>
    <w:rsid w:val="00525873"/>
    <w:rsid w:val="00526144"/>
    <w:rsid w:val="005302E8"/>
    <w:rsid w:val="0053046D"/>
    <w:rsid w:val="0053052A"/>
    <w:rsid w:val="005320A6"/>
    <w:rsid w:val="005321CE"/>
    <w:rsid w:val="00532F8E"/>
    <w:rsid w:val="00533906"/>
    <w:rsid w:val="00536CD7"/>
    <w:rsid w:val="0053760F"/>
    <w:rsid w:val="005405B1"/>
    <w:rsid w:val="005422AA"/>
    <w:rsid w:val="00544DF1"/>
    <w:rsid w:val="005464E5"/>
    <w:rsid w:val="00551915"/>
    <w:rsid w:val="005524D9"/>
    <w:rsid w:val="005533D1"/>
    <w:rsid w:val="005560EF"/>
    <w:rsid w:val="005615A7"/>
    <w:rsid w:val="00570907"/>
    <w:rsid w:val="00573594"/>
    <w:rsid w:val="00573AB6"/>
    <w:rsid w:val="00573BDC"/>
    <w:rsid w:val="005777D3"/>
    <w:rsid w:val="00581156"/>
    <w:rsid w:val="005819AF"/>
    <w:rsid w:val="00583E87"/>
    <w:rsid w:val="00584623"/>
    <w:rsid w:val="00585BE1"/>
    <w:rsid w:val="0059321F"/>
    <w:rsid w:val="005A004D"/>
    <w:rsid w:val="005A20EA"/>
    <w:rsid w:val="005A4507"/>
    <w:rsid w:val="005A6CBB"/>
    <w:rsid w:val="005B08E2"/>
    <w:rsid w:val="005B210F"/>
    <w:rsid w:val="005B36BD"/>
    <w:rsid w:val="005B39A8"/>
    <w:rsid w:val="005C46A3"/>
    <w:rsid w:val="005C5DFF"/>
    <w:rsid w:val="005C6136"/>
    <w:rsid w:val="005C6740"/>
    <w:rsid w:val="005C6D63"/>
    <w:rsid w:val="005C707A"/>
    <w:rsid w:val="005C75EC"/>
    <w:rsid w:val="005D287D"/>
    <w:rsid w:val="005D2FC9"/>
    <w:rsid w:val="005D369A"/>
    <w:rsid w:val="005D4E0D"/>
    <w:rsid w:val="005D6566"/>
    <w:rsid w:val="005D794E"/>
    <w:rsid w:val="005E02A9"/>
    <w:rsid w:val="005E28B7"/>
    <w:rsid w:val="005E31D7"/>
    <w:rsid w:val="005E4E3E"/>
    <w:rsid w:val="005E5BEA"/>
    <w:rsid w:val="005E7EAD"/>
    <w:rsid w:val="005F2C4C"/>
    <w:rsid w:val="005F4CE9"/>
    <w:rsid w:val="005F67C8"/>
    <w:rsid w:val="005F746A"/>
    <w:rsid w:val="006005BE"/>
    <w:rsid w:val="006029A4"/>
    <w:rsid w:val="0060400B"/>
    <w:rsid w:val="00606EB7"/>
    <w:rsid w:val="00610491"/>
    <w:rsid w:val="00610661"/>
    <w:rsid w:val="00611C1F"/>
    <w:rsid w:val="00611D84"/>
    <w:rsid w:val="00613CA2"/>
    <w:rsid w:val="00615804"/>
    <w:rsid w:val="00616041"/>
    <w:rsid w:val="006164BD"/>
    <w:rsid w:val="00616AE2"/>
    <w:rsid w:val="0062377A"/>
    <w:rsid w:val="0062497B"/>
    <w:rsid w:val="006267E2"/>
    <w:rsid w:val="0063027A"/>
    <w:rsid w:val="00642567"/>
    <w:rsid w:val="006432EB"/>
    <w:rsid w:val="0064504B"/>
    <w:rsid w:val="00650B7D"/>
    <w:rsid w:val="0065397D"/>
    <w:rsid w:val="00654247"/>
    <w:rsid w:val="006569FD"/>
    <w:rsid w:val="00656D6B"/>
    <w:rsid w:val="006614E5"/>
    <w:rsid w:val="00662292"/>
    <w:rsid w:val="00664304"/>
    <w:rsid w:val="00665AD2"/>
    <w:rsid w:val="00666C39"/>
    <w:rsid w:val="0066795D"/>
    <w:rsid w:val="00676EC4"/>
    <w:rsid w:val="00680D49"/>
    <w:rsid w:val="00681EE1"/>
    <w:rsid w:val="006835B3"/>
    <w:rsid w:val="00685466"/>
    <w:rsid w:val="00686322"/>
    <w:rsid w:val="0068705F"/>
    <w:rsid w:val="00691E91"/>
    <w:rsid w:val="00694924"/>
    <w:rsid w:val="006A0EBB"/>
    <w:rsid w:val="006A245B"/>
    <w:rsid w:val="006A46CB"/>
    <w:rsid w:val="006A57DE"/>
    <w:rsid w:val="006A581D"/>
    <w:rsid w:val="006A69C0"/>
    <w:rsid w:val="006B199F"/>
    <w:rsid w:val="006B47E9"/>
    <w:rsid w:val="006B4FF2"/>
    <w:rsid w:val="006B7482"/>
    <w:rsid w:val="006B75DA"/>
    <w:rsid w:val="006B7799"/>
    <w:rsid w:val="006B7AAE"/>
    <w:rsid w:val="006C0865"/>
    <w:rsid w:val="006C3A3F"/>
    <w:rsid w:val="006C48AD"/>
    <w:rsid w:val="006D05BD"/>
    <w:rsid w:val="006D0E3B"/>
    <w:rsid w:val="006D7ACA"/>
    <w:rsid w:val="006E1CC4"/>
    <w:rsid w:val="006E32DF"/>
    <w:rsid w:val="006E4521"/>
    <w:rsid w:val="006F071E"/>
    <w:rsid w:val="006F2013"/>
    <w:rsid w:val="006F299C"/>
    <w:rsid w:val="00701078"/>
    <w:rsid w:val="0070410B"/>
    <w:rsid w:val="00704901"/>
    <w:rsid w:val="007050AA"/>
    <w:rsid w:val="00705608"/>
    <w:rsid w:val="00712682"/>
    <w:rsid w:val="00715E18"/>
    <w:rsid w:val="00717972"/>
    <w:rsid w:val="00723675"/>
    <w:rsid w:val="00725AF1"/>
    <w:rsid w:val="00730AF9"/>
    <w:rsid w:val="00731056"/>
    <w:rsid w:val="00731D15"/>
    <w:rsid w:val="00735822"/>
    <w:rsid w:val="00736542"/>
    <w:rsid w:val="00736827"/>
    <w:rsid w:val="00742EB3"/>
    <w:rsid w:val="00743410"/>
    <w:rsid w:val="007476A4"/>
    <w:rsid w:val="007517F7"/>
    <w:rsid w:val="00752436"/>
    <w:rsid w:val="00753B2F"/>
    <w:rsid w:val="00756CCC"/>
    <w:rsid w:val="00761A1D"/>
    <w:rsid w:val="00761B7C"/>
    <w:rsid w:val="00770BF9"/>
    <w:rsid w:val="00770D24"/>
    <w:rsid w:val="0077506C"/>
    <w:rsid w:val="00775157"/>
    <w:rsid w:val="0077547D"/>
    <w:rsid w:val="00775737"/>
    <w:rsid w:val="00775A21"/>
    <w:rsid w:val="0077651A"/>
    <w:rsid w:val="00777635"/>
    <w:rsid w:val="00780186"/>
    <w:rsid w:val="007834A3"/>
    <w:rsid w:val="00783A73"/>
    <w:rsid w:val="00783EB3"/>
    <w:rsid w:val="00786103"/>
    <w:rsid w:val="00790A22"/>
    <w:rsid w:val="00790B4A"/>
    <w:rsid w:val="00793E6D"/>
    <w:rsid w:val="0079418D"/>
    <w:rsid w:val="00794835"/>
    <w:rsid w:val="0079573D"/>
    <w:rsid w:val="007A2DA7"/>
    <w:rsid w:val="007A2E09"/>
    <w:rsid w:val="007A615D"/>
    <w:rsid w:val="007B1EBB"/>
    <w:rsid w:val="007B6887"/>
    <w:rsid w:val="007C24B5"/>
    <w:rsid w:val="007C344E"/>
    <w:rsid w:val="007C47B6"/>
    <w:rsid w:val="007D0ECC"/>
    <w:rsid w:val="007D1064"/>
    <w:rsid w:val="007D1945"/>
    <w:rsid w:val="007D5EC7"/>
    <w:rsid w:val="007D7145"/>
    <w:rsid w:val="007D7261"/>
    <w:rsid w:val="007D73A8"/>
    <w:rsid w:val="007E108C"/>
    <w:rsid w:val="007E1183"/>
    <w:rsid w:val="007E1411"/>
    <w:rsid w:val="007E44BC"/>
    <w:rsid w:val="007E49FE"/>
    <w:rsid w:val="007E6A79"/>
    <w:rsid w:val="007E74AC"/>
    <w:rsid w:val="007E7D7A"/>
    <w:rsid w:val="007F010C"/>
    <w:rsid w:val="007F3103"/>
    <w:rsid w:val="007F43BE"/>
    <w:rsid w:val="007F60DC"/>
    <w:rsid w:val="007F735A"/>
    <w:rsid w:val="007F7C36"/>
    <w:rsid w:val="008005D9"/>
    <w:rsid w:val="0080498D"/>
    <w:rsid w:val="00806FAB"/>
    <w:rsid w:val="00807E13"/>
    <w:rsid w:val="00807E5C"/>
    <w:rsid w:val="0081340E"/>
    <w:rsid w:val="008159A5"/>
    <w:rsid w:val="00816B08"/>
    <w:rsid w:val="00820C77"/>
    <w:rsid w:val="00823C18"/>
    <w:rsid w:val="00826851"/>
    <w:rsid w:val="008342D7"/>
    <w:rsid w:val="00837F7A"/>
    <w:rsid w:val="0084174D"/>
    <w:rsid w:val="0084389B"/>
    <w:rsid w:val="00845A23"/>
    <w:rsid w:val="00846306"/>
    <w:rsid w:val="00850F6D"/>
    <w:rsid w:val="00853C44"/>
    <w:rsid w:val="008559D7"/>
    <w:rsid w:val="00856221"/>
    <w:rsid w:val="008638E2"/>
    <w:rsid w:val="00872F08"/>
    <w:rsid w:val="008742DB"/>
    <w:rsid w:val="0087624D"/>
    <w:rsid w:val="00882B63"/>
    <w:rsid w:val="008853F6"/>
    <w:rsid w:val="00886592"/>
    <w:rsid w:val="00886961"/>
    <w:rsid w:val="00891B0E"/>
    <w:rsid w:val="00892642"/>
    <w:rsid w:val="00892B44"/>
    <w:rsid w:val="008967C6"/>
    <w:rsid w:val="008A2281"/>
    <w:rsid w:val="008A63AB"/>
    <w:rsid w:val="008B0559"/>
    <w:rsid w:val="008B0725"/>
    <w:rsid w:val="008B091E"/>
    <w:rsid w:val="008B0D76"/>
    <w:rsid w:val="008B1BAA"/>
    <w:rsid w:val="008B312A"/>
    <w:rsid w:val="008B6604"/>
    <w:rsid w:val="008B7A6C"/>
    <w:rsid w:val="008C4046"/>
    <w:rsid w:val="008C57DC"/>
    <w:rsid w:val="008C70BA"/>
    <w:rsid w:val="008C719F"/>
    <w:rsid w:val="008D0608"/>
    <w:rsid w:val="008D2A30"/>
    <w:rsid w:val="008D3AE3"/>
    <w:rsid w:val="008D53D9"/>
    <w:rsid w:val="008E4983"/>
    <w:rsid w:val="008E70C3"/>
    <w:rsid w:val="008F039B"/>
    <w:rsid w:val="008F0F40"/>
    <w:rsid w:val="008F1935"/>
    <w:rsid w:val="008F35FD"/>
    <w:rsid w:val="008F654B"/>
    <w:rsid w:val="008F67D6"/>
    <w:rsid w:val="008F7ABC"/>
    <w:rsid w:val="00901209"/>
    <w:rsid w:val="009067F6"/>
    <w:rsid w:val="00910065"/>
    <w:rsid w:val="0091131F"/>
    <w:rsid w:val="00911E8B"/>
    <w:rsid w:val="00922D2F"/>
    <w:rsid w:val="00923AD3"/>
    <w:rsid w:val="009250F8"/>
    <w:rsid w:val="009261C7"/>
    <w:rsid w:val="00927BDB"/>
    <w:rsid w:val="009329CE"/>
    <w:rsid w:val="009363D3"/>
    <w:rsid w:val="0093690F"/>
    <w:rsid w:val="009376CF"/>
    <w:rsid w:val="009400A9"/>
    <w:rsid w:val="00946747"/>
    <w:rsid w:val="0095717D"/>
    <w:rsid w:val="00961213"/>
    <w:rsid w:val="00961955"/>
    <w:rsid w:val="0096227B"/>
    <w:rsid w:val="0096523E"/>
    <w:rsid w:val="00971F55"/>
    <w:rsid w:val="00972748"/>
    <w:rsid w:val="00980B1B"/>
    <w:rsid w:val="0098489C"/>
    <w:rsid w:val="009865EA"/>
    <w:rsid w:val="0099188F"/>
    <w:rsid w:val="0099369F"/>
    <w:rsid w:val="009A3BEE"/>
    <w:rsid w:val="009A58EC"/>
    <w:rsid w:val="009A65E1"/>
    <w:rsid w:val="009A748B"/>
    <w:rsid w:val="009B19C2"/>
    <w:rsid w:val="009B19E7"/>
    <w:rsid w:val="009B2E7F"/>
    <w:rsid w:val="009B32CE"/>
    <w:rsid w:val="009B33E4"/>
    <w:rsid w:val="009B3BA5"/>
    <w:rsid w:val="009B49B8"/>
    <w:rsid w:val="009B5584"/>
    <w:rsid w:val="009B67DF"/>
    <w:rsid w:val="009B773E"/>
    <w:rsid w:val="009C06C7"/>
    <w:rsid w:val="009C0F46"/>
    <w:rsid w:val="009C3CE8"/>
    <w:rsid w:val="009C4DD8"/>
    <w:rsid w:val="009C5015"/>
    <w:rsid w:val="009C6395"/>
    <w:rsid w:val="009D204E"/>
    <w:rsid w:val="009D7976"/>
    <w:rsid w:val="009E0CF6"/>
    <w:rsid w:val="009E4705"/>
    <w:rsid w:val="009E7F31"/>
    <w:rsid w:val="009F481B"/>
    <w:rsid w:val="009F7428"/>
    <w:rsid w:val="009F7705"/>
    <w:rsid w:val="00A00949"/>
    <w:rsid w:val="00A02042"/>
    <w:rsid w:val="00A026C2"/>
    <w:rsid w:val="00A0429D"/>
    <w:rsid w:val="00A076EB"/>
    <w:rsid w:val="00A07F3B"/>
    <w:rsid w:val="00A14F43"/>
    <w:rsid w:val="00A17A93"/>
    <w:rsid w:val="00A17E86"/>
    <w:rsid w:val="00A20DC0"/>
    <w:rsid w:val="00A211D8"/>
    <w:rsid w:val="00A23689"/>
    <w:rsid w:val="00A2550D"/>
    <w:rsid w:val="00A27270"/>
    <w:rsid w:val="00A337C1"/>
    <w:rsid w:val="00A34EC0"/>
    <w:rsid w:val="00A4297D"/>
    <w:rsid w:val="00A436F9"/>
    <w:rsid w:val="00A46A2A"/>
    <w:rsid w:val="00A47814"/>
    <w:rsid w:val="00A5027D"/>
    <w:rsid w:val="00A50FFF"/>
    <w:rsid w:val="00A52238"/>
    <w:rsid w:val="00A522BA"/>
    <w:rsid w:val="00A54B6A"/>
    <w:rsid w:val="00A55E3F"/>
    <w:rsid w:val="00A60D1F"/>
    <w:rsid w:val="00A612EB"/>
    <w:rsid w:val="00A63269"/>
    <w:rsid w:val="00A71558"/>
    <w:rsid w:val="00A730A9"/>
    <w:rsid w:val="00A801B3"/>
    <w:rsid w:val="00A82D68"/>
    <w:rsid w:val="00A8679D"/>
    <w:rsid w:val="00A9017F"/>
    <w:rsid w:val="00A94024"/>
    <w:rsid w:val="00A94400"/>
    <w:rsid w:val="00A9519C"/>
    <w:rsid w:val="00A97464"/>
    <w:rsid w:val="00AA09EF"/>
    <w:rsid w:val="00AA13BB"/>
    <w:rsid w:val="00AA6162"/>
    <w:rsid w:val="00AA6FAC"/>
    <w:rsid w:val="00AB3EF9"/>
    <w:rsid w:val="00AC05AB"/>
    <w:rsid w:val="00AC40C7"/>
    <w:rsid w:val="00AC4B83"/>
    <w:rsid w:val="00AC5385"/>
    <w:rsid w:val="00AC7BC9"/>
    <w:rsid w:val="00AD093E"/>
    <w:rsid w:val="00AD1C72"/>
    <w:rsid w:val="00AD383A"/>
    <w:rsid w:val="00AD4420"/>
    <w:rsid w:val="00AD5252"/>
    <w:rsid w:val="00AE1527"/>
    <w:rsid w:val="00AE1FA9"/>
    <w:rsid w:val="00AE268F"/>
    <w:rsid w:val="00AE348B"/>
    <w:rsid w:val="00AE411C"/>
    <w:rsid w:val="00AE7314"/>
    <w:rsid w:val="00AF398D"/>
    <w:rsid w:val="00AF7B40"/>
    <w:rsid w:val="00B063FA"/>
    <w:rsid w:val="00B07EA7"/>
    <w:rsid w:val="00B10631"/>
    <w:rsid w:val="00B12116"/>
    <w:rsid w:val="00B12D47"/>
    <w:rsid w:val="00B1685E"/>
    <w:rsid w:val="00B206AB"/>
    <w:rsid w:val="00B2299B"/>
    <w:rsid w:val="00B23B81"/>
    <w:rsid w:val="00B23E83"/>
    <w:rsid w:val="00B24767"/>
    <w:rsid w:val="00B341D3"/>
    <w:rsid w:val="00B3658A"/>
    <w:rsid w:val="00B37872"/>
    <w:rsid w:val="00B40C4A"/>
    <w:rsid w:val="00B4172B"/>
    <w:rsid w:val="00B42C18"/>
    <w:rsid w:val="00B44B1D"/>
    <w:rsid w:val="00B452B6"/>
    <w:rsid w:val="00B46DF3"/>
    <w:rsid w:val="00B47F91"/>
    <w:rsid w:val="00B50372"/>
    <w:rsid w:val="00B537C9"/>
    <w:rsid w:val="00B543B8"/>
    <w:rsid w:val="00B54C35"/>
    <w:rsid w:val="00B55322"/>
    <w:rsid w:val="00B55EEF"/>
    <w:rsid w:val="00B5743C"/>
    <w:rsid w:val="00B57EF7"/>
    <w:rsid w:val="00B61CF4"/>
    <w:rsid w:val="00B61D52"/>
    <w:rsid w:val="00B6342F"/>
    <w:rsid w:val="00B660D9"/>
    <w:rsid w:val="00B665CC"/>
    <w:rsid w:val="00B67625"/>
    <w:rsid w:val="00B713DD"/>
    <w:rsid w:val="00B76BE3"/>
    <w:rsid w:val="00B809EF"/>
    <w:rsid w:val="00B81E29"/>
    <w:rsid w:val="00B832EF"/>
    <w:rsid w:val="00B87857"/>
    <w:rsid w:val="00B9000F"/>
    <w:rsid w:val="00B91DAB"/>
    <w:rsid w:val="00B92B31"/>
    <w:rsid w:val="00B93E29"/>
    <w:rsid w:val="00B96046"/>
    <w:rsid w:val="00BA1086"/>
    <w:rsid w:val="00BA18AE"/>
    <w:rsid w:val="00BA27C0"/>
    <w:rsid w:val="00BA3734"/>
    <w:rsid w:val="00BA4A31"/>
    <w:rsid w:val="00BA6F7E"/>
    <w:rsid w:val="00BA7133"/>
    <w:rsid w:val="00BA7805"/>
    <w:rsid w:val="00BB1592"/>
    <w:rsid w:val="00BB6C5C"/>
    <w:rsid w:val="00BB75AC"/>
    <w:rsid w:val="00BB7A20"/>
    <w:rsid w:val="00BC2C9B"/>
    <w:rsid w:val="00BC30FC"/>
    <w:rsid w:val="00BC6E92"/>
    <w:rsid w:val="00BD1202"/>
    <w:rsid w:val="00BD2785"/>
    <w:rsid w:val="00BD2830"/>
    <w:rsid w:val="00BD5413"/>
    <w:rsid w:val="00BE04D3"/>
    <w:rsid w:val="00BE58B1"/>
    <w:rsid w:val="00BF026F"/>
    <w:rsid w:val="00BF034B"/>
    <w:rsid w:val="00BF6391"/>
    <w:rsid w:val="00C01135"/>
    <w:rsid w:val="00C020E7"/>
    <w:rsid w:val="00C036B3"/>
    <w:rsid w:val="00C11831"/>
    <w:rsid w:val="00C12660"/>
    <w:rsid w:val="00C146FB"/>
    <w:rsid w:val="00C223BA"/>
    <w:rsid w:val="00C26B37"/>
    <w:rsid w:val="00C3036D"/>
    <w:rsid w:val="00C30978"/>
    <w:rsid w:val="00C31625"/>
    <w:rsid w:val="00C326B3"/>
    <w:rsid w:val="00C37118"/>
    <w:rsid w:val="00C4134E"/>
    <w:rsid w:val="00C42288"/>
    <w:rsid w:val="00C43D12"/>
    <w:rsid w:val="00C44BBA"/>
    <w:rsid w:val="00C45ED6"/>
    <w:rsid w:val="00C53D5C"/>
    <w:rsid w:val="00C571F6"/>
    <w:rsid w:val="00C62A27"/>
    <w:rsid w:val="00C63F75"/>
    <w:rsid w:val="00C65B2A"/>
    <w:rsid w:val="00C672E4"/>
    <w:rsid w:val="00C701B7"/>
    <w:rsid w:val="00C74FDB"/>
    <w:rsid w:val="00C75D7E"/>
    <w:rsid w:val="00C7684D"/>
    <w:rsid w:val="00C82026"/>
    <w:rsid w:val="00C83981"/>
    <w:rsid w:val="00C85832"/>
    <w:rsid w:val="00C9158B"/>
    <w:rsid w:val="00C9250D"/>
    <w:rsid w:val="00C93C05"/>
    <w:rsid w:val="00C95845"/>
    <w:rsid w:val="00C96F37"/>
    <w:rsid w:val="00CA02BE"/>
    <w:rsid w:val="00CA1320"/>
    <w:rsid w:val="00CA56FE"/>
    <w:rsid w:val="00CB07D6"/>
    <w:rsid w:val="00CB1B18"/>
    <w:rsid w:val="00CB4E58"/>
    <w:rsid w:val="00CB5465"/>
    <w:rsid w:val="00CB6CB0"/>
    <w:rsid w:val="00CB723F"/>
    <w:rsid w:val="00CB7D41"/>
    <w:rsid w:val="00CC24EA"/>
    <w:rsid w:val="00CC362E"/>
    <w:rsid w:val="00CC50A9"/>
    <w:rsid w:val="00CC73CF"/>
    <w:rsid w:val="00CC77C8"/>
    <w:rsid w:val="00CD5427"/>
    <w:rsid w:val="00CD791C"/>
    <w:rsid w:val="00CE0542"/>
    <w:rsid w:val="00CE2248"/>
    <w:rsid w:val="00CE38A7"/>
    <w:rsid w:val="00CE5F71"/>
    <w:rsid w:val="00CE6037"/>
    <w:rsid w:val="00CE6ECA"/>
    <w:rsid w:val="00CE7E5A"/>
    <w:rsid w:val="00CF163B"/>
    <w:rsid w:val="00CF395B"/>
    <w:rsid w:val="00CF3D37"/>
    <w:rsid w:val="00CF4D7B"/>
    <w:rsid w:val="00CF4FD0"/>
    <w:rsid w:val="00CF6343"/>
    <w:rsid w:val="00CF6819"/>
    <w:rsid w:val="00D01BE7"/>
    <w:rsid w:val="00D04438"/>
    <w:rsid w:val="00D11F14"/>
    <w:rsid w:val="00D12C22"/>
    <w:rsid w:val="00D21AE9"/>
    <w:rsid w:val="00D23041"/>
    <w:rsid w:val="00D238CC"/>
    <w:rsid w:val="00D23EA0"/>
    <w:rsid w:val="00D2792E"/>
    <w:rsid w:val="00D33F08"/>
    <w:rsid w:val="00D3453A"/>
    <w:rsid w:val="00D403A9"/>
    <w:rsid w:val="00D40ECD"/>
    <w:rsid w:val="00D42133"/>
    <w:rsid w:val="00D42D37"/>
    <w:rsid w:val="00D45D3A"/>
    <w:rsid w:val="00D512D0"/>
    <w:rsid w:val="00D51EFE"/>
    <w:rsid w:val="00D540EC"/>
    <w:rsid w:val="00D6033B"/>
    <w:rsid w:val="00D61413"/>
    <w:rsid w:val="00D62A41"/>
    <w:rsid w:val="00D639BA"/>
    <w:rsid w:val="00D66DE3"/>
    <w:rsid w:val="00D67270"/>
    <w:rsid w:val="00D71D66"/>
    <w:rsid w:val="00D7301D"/>
    <w:rsid w:val="00D730C1"/>
    <w:rsid w:val="00D74131"/>
    <w:rsid w:val="00D774E8"/>
    <w:rsid w:val="00D811BC"/>
    <w:rsid w:val="00D811CC"/>
    <w:rsid w:val="00D814CC"/>
    <w:rsid w:val="00D83098"/>
    <w:rsid w:val="00D84831"/>
    <w:rsid w:val="00D848CC"/>
    <w:rsid w:val="00D85C77"/>
    <w:rsid w:val="00D86664"/>
    <w:rsid w:val="00D91816"/>
    <w:rsid w:val="00D927EE"/>
    <w:rsid w:val="00D935DB"/>
    <w:rsid w:val="00D947F0"/>
    <w:rsid w:val="00D9623E"/>
    <w:rsid w:val="00DA010B"/>
    <w:rsid w:val="00DA1568"/>
    <w:rsid w:val="00DA3843"/>
    <w:rsid w:val="00DA541F"/>
    <w:rsid w:val="00DA5ED0"/>
    <w:rsid w:val="00DB0162"/>
    <w:rsid w:val="00DB4014"/>
    <w:rsid w:val="00DB67CB"/>
    <w:rsid w:val="00DC0E87"/>
    <w:rsid w:val="00DC41D6"/>
    <w:rsid w:val="00DD476D"/>
    <w:rsid w:val="00DD5B8B"/>
    <w:rsid w:val="00DE2723"/>
    <w:rsid w:val="00DE28AC"/>
    <w:rsid w:val="00DE2B02"/>
    <w:rsid w:val="00DE4E88"/>
    <w:rsid w:val="00DE74E9"/>
    <w:rsid w:val="00DE79BD"/>
    <w:rsid w:val="00DF06DE"/>
    <w:rsid w:val="00DF5070"/>
    <w:rsid w:val="00DF60CB"/>
    <w:rsid w:val="00E018C7"/>
    <w:rsid w:val="00E03E32"/>
    <w:rsid w:val="00E105E8"/>
    <w:rsid w:val="00E14974"/>
    <w:rsid w:val="00E14FF8"/>
    <w:rsid w:val="00E159EE"/>
    <w:rsid w:val="00E17056"/>
    <w:rsid w:val="00E21C58"/>
    <w:rsid w:val="00E223B9"/>
    <w:rsid w:val="00E27F8A"/>
    <w:rsid w:val="00E30DD7"/>
    <w:rsid w:val="00E317DD"/>
    <w:rsid w:val="00E34F23"/>
    <w:rsid w:val="00E350F0"/>
    <w:rsid w:val="00E358A7"/>
    <w:rsid w:val="00E37AC7"/>
    <w:rsid w:val="00E40982"/>
    <w:rsid w:val="00E43663"/>
    <w:rsid w:val="00E44368"/>
    <w:rsid w:val="00E50A57"/>
    <w:rsid w:val="00E50F61"/>
    <w:rsid w:val="00E52A06"/>
    <w:rsid w:val="00E55BC0"/>
    <w:rsid w:val="00E55F9C"/>
    <w:rsid w:val="00E60D7E"/>
    <w:rsid w:val="00E61D0E"/>
    <w:rsid w:val="00E62AB9"/>
    <w:rsid w:val="00E662EC"/>
    <w:rsid w:val="00E66E0F"/>
    <w:rsid w:val="00E66E2B"/>
    <w:rsid w:val="00E67741"/>
    <w:rsid w:val="00E71B50"/>
    <w:rsid w:val="00E748A6"/>
    <w:rsid w:val="00E74FDF"/>
    <w:rsid w:val="00E76101"/>
    <w:rsid w:val="00E81916"/>
    <w:rsid w:val="00E858DA"/>
    <w:rsid w:val="00E9047D"/>
    <w:rsid w:val="00E97932"/>
    <w:rsid w:val="00EA4D59"/>
    <w:rsid w:val="00EB508F"/>
    <w:rsid w:val="00EB552D"/>
    <w:rsid w:val="00EB6C6B"/>
    <w:rsid w:val="00EC21B9"/>
    <w:rsid w:val="00EC4677"/>
    <w:rsid w:val="00EC54C0"/>
    <w:rsid w:val="00ED1097"/>
    <w:rsid w:val="00ED4C41"/>
    <w:rsid w:val="00ED5D50"/>
    <w:rsid w:val="00ED6411"/>
    <w:rsid w:val="00ED6F96"/>
    <w:rsid w:val="00EE1253"/>
    <w:rsid w:val="00EE584B"/>
    <w:rsid w:val="00EE604C"/>
    <w:rsid w:val="00EE613E"/>
    <w:rsid w:val="00EE6762"/>
    <w:rsid w:val="00EF125D"/>
    <w:rsid w:val="00EF157B"/>
    <w:rsid w:val="00EF29DA"/>
    <w:rsid w:val="00EF2EFA"/>
    <w:rsid w:val="00EF39F7"/>
    <w:rsid w:val="00EF4026"/>
    <w:rsid w:val="00EF5F86"/>
    <w:rsid w:val="00F023AC"/>
    <w:rsid w:val="00F043B0"/>
    <w:rsid w:val="00F05711"/>
    <w:rsid w:val="00F1090B"/>
    <w:rsid w:val="00F10B22"/>
    <w:rsid w:val="00F10B46"/>
    <w:rsid w:val="00F11AE4"/>
    <w:rsid w:val="00F156DC"/>
    <w:rsid w:val="00F259A2"/>
    <w:rsid w:val="00F2749E"/>
    <w:rsid w:val="00F27F12"/>
    <w:rsid w:val="00F36A0D"/>
    <w:rsid w:val="00F36AAA"/>
    <w:rsid w:val="00F37FDE"/>
    <w:rsid w:val="00F40E9E"/>
    <w:rsid w:val="00F41ECA"/>
    <w:rsid w:val="00F4630D"/>
    <w:rsid w:val="00F473AA"/>
    <w:rsid w:val="00F50189"/>
    <w:rsid w:val="00F53557"/>
    <w:rsid w:val="00F53790"/>
    <w:rsid w:val="00F5425A"/>
    <w:rsid w:val="00F548F0"/>
    <w:rsid w:val="00F54E11"/>
    <w:rsid w:val="00F5763E"/>
    <w:rsid w:val="00F62E3B"/>
    <w:rsid w:val="00F64228"/>
    <w:rsid w:val="00F6427B"/>
    <w:rsid w:val="00F66DA1"/>
    <w:rsid w:val="00F706F6"/>
    <w:rsid w:val="00F70734"/>
    <w:rsid w:val="00F70AA7"/>
    <w:rsid w:val="00F73D5A"/>
    <w:rsid w:val="00F753DE"/>
    <w:rsid w:val="00F7617D"/>
    <w:rsid w:val="00F761FC"/>
    <w:rsid w:val="00F76511"/>
    <w:rsid w:val="00F80AD2"/>
    <w:rsid w:val="00F81687"/>
    <w:rsid w:val="00F81782"/>
    <w:rsid w:val="00F81E2A"/>
    <w:rsid w:val="00F82CEA"/>
    <w:rsid w:val="00F83887"/>
    <w:rsid w:val="00F83949"/>
    <w:rsid w:val="00F851C4"/>
    <w:rsid w:val="00F8526B"/>
    <w:rsid w:val="00F91063"/>
    <w:rsid w:val="00F93169"/>
    <w:rsid w:val="00F93212"/>
    <w:rsid w:val="00F937FA"/>
    <w:rsid w:val="00F97BD6"/>
    <w:rsid w:val="00FA09CE"/>
    <w:rsid w:val="00FA3744"/>
    <w:rsid w:val="00FA4DB7"/>
    <w:rsid w:val="00FB53A3"/>
    <w:rsid w:val="00FB6557"/>
    <w:rsid w:val="00FC0A9D"/>
    <w:rsid w:val="00FC580A"/>
    <w:rsid w:val="00FC5DFE"/>
    <w:rsid w:val="00FC65B3"/>
    <w:rsid w:val="00FD24CC"/>
    <w:rsid w:val="00FD5DB7"/>
    <w:rsid w:val="00FD5FB2"/>
    <w:rsid w:val="00FD6725"/>
    <w:rsid w:val="00FD6C1E"/>
    <w:rsid w:val="00FE17F4"/>
    <w:rsid w:val="00FE3131"/>
    <w:rsid w:val="00FE4B90"/>
    <w:rsid w:val="00FE66BB"/>
    <w:rsid w:val="00FF5ED2"/>
    <w:rsid w:val="00FF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9BF8"/>
  <w15:chartTrackingRefBased/>
  <w15:docId w15:val="{3F3D8E19-923B-4769-B80E-2653EA85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1C0"/>
    <w:pPr>
      <w:spacing w:before="80" w:after="0" w:line="260" w:lineRule="exact"/>
    </w:pPr>
  </w:style>
  <w:style w:type="paragraph" w:styleId="Heading1">
    <w:name w:val="heading 1"/>
    <w:basedOn w:val="Normal"/>
    <w:next w:val="Normal"/>
    <w:link w:val="Heading1Char"/>
    <w:qFormat/>
    <w:rsid w:val="003142A7"/>
    <w:pPr>
      <w:keepNext/>
      <w:numPr>
        <w:numId w:val="16"/>
      </w:numPr>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qFormat/>
    <w:rsid w:val="003142A7"/>
    <w:pPr>
      <w:keepNext/>
      <w:numPr>
        <w:ilvl w:val="1"/>
        <w:numId w:val="16"/>
      </w:numPr>
      <w:spacing w:before="240" w:after="60" w:line="240" w:lineRule="auto"/>
      <w:outlineLvl w:val="1"/>
    </w:pPr>
    <w:rPr>
      <w:rFonts w:eastAsia="Times New Roman" w:cs="Arial"/>
      <w:b/>
      <w:bCs/>
      <w:i/>
      <w:iCs/>
      <w:sz w:val="28"/>
      <w:szCs w:val="28"/>
    </w:rPr>
  </w:style>
  <w:style w:type="paragraph" w:styleId="Heading3">
    <w:name w:val="heading 3"/>
    <w:basedOn w:val="Normal"/>
    <w:next w:val="Normal"/>
    <w:link w:val="Heading3Char"/>
    <w:qFormat/>
    <w:rsid w:val="003142A7"/>
    <w:pPr>
      <w:keepNext/>
      <w:numPr>
        <w:ilvl w:val="2"/>
        <w:numId w:val="16"/>
      </w:numPr>
      <w:spacing w:before="240" w:after="60" w:line="240" w:lineRule="auto"/>
      <w:outlineLvl w:val="2"/>
    </w:pPr>
    <w:rPr>
      <w:rFonts w:eastAsia="Times New Roman" w:cs="Arial"/>
      <w:b/>
      <w:bCs/>
      <w:sz w:val="26"/>
      <w:szCs w:val="26"/>
    </w:rPr>
  </w:style>
  <w:style w:type="paragraph" w:styleId="Heading4">
    <w:name w:val="heading 4"/>
    <w:basedOn w:val="Normal"/>
    <w:next w:val="Normal"/>
    <w:link w:val="Heading4Char"/>
    <w:qFormat/>
    <w:rsid w:val="003142A7"/>
    <w:pPr>
      <w:keepNext/>
      <w:numPr>
        <w:ilvl w:val="3"/>
        <w:numId w:val="16"/>
      </w:numPr>
      <w:spacing w:before="240" w:after="60" w:line="240" w:lineRule="auto"/>
      <w:outlineLvl w:val="3"/>
    </w:pPr>
    <w:rPr>
      <w:rFonts w:ascii="Times New Roman" w:eastAsia="Times New Roman" w:hAnsi="Times New Roman" w:cs="Arial"/>
      <w:b/>
      <w:bCs/>
      <w:sz w:val="28"/>
      <w:szCs w:val="28"/>
    </w:rPr>
  </w:style>
  <w:style w:type="paragraph" w:styleId="Heading5">
    <w:name w:val="heading 5"/>
    <w:basedOn w:val="Normal"/>
    <w:next w:val="Normal"/>
    <w:link w:val="Heading5Char"/>
    <w:qFormat/>
    <w:rsid w:val="003142A7"/>
    <w:pPr>
      <w:numPr>
        <w:ilvl w:val="4"/>
        <w:numId w:val="16"/>
      </w:numPr>
      <w:spacing w:before="240" w:after="60" w:line="240" w:lineRule="auto"/>
      <w:outlineLvl w:val="4"/>
    </w:pPr>
    <w:rPr>
      <w:rFonts w:eastAsia="Times New Roman" w:cs="Arial"/>
      <w:b/>
      <w:bCs/>
      <w:i/>
      <w:iCs/>
      <w:sz w:val="26"/>
      <w:szCs w:val="26"/>
    </w:rPr>
  </w:style>
  <w:style w:type="paragraph" w:styleId="Heading6">
    <w:name w:val="heading 6"/>
    <w:basedOn w:val="Normal"/>
    <w:next w:val="Normal"/>
    <w:link w:val="Heading6Char"/>
    <w:qFormat/>
    <w:rsid w:val="003142A7"/>
    <w:pPr>
      <w:numPr>
        <w:ilvl w:val="5"/>
        <w:numId w:val="16"/>
      </w:numPr>
      <w:spacing w:before="240" w:after="60" w:line="240" w:lineRule="auto"/>
      <w:outlineLvl w:val="5"/>
    </w:pPr>
    <w:rPr>
      <w:rFonts w:ascii="Times New Roman" w:eastAsia="Times New Roman" w:hAnsi="Times New Roman" w:cs="Arial"/>
      <w:b/>
      <w:bCs/>
    </w:rPr>
  </w:style>
  <w:style w:type="paragraph" w:styleId="Heading7">
    <w:name w:val="heading 7"/>
    <w:basedOn w:val="Normal"/>
    <w:next w:val="Normal"/>
    <w:link w:val="Heading7Char"/>
    <w:qFormat/>
    <w:rsid w:val="003142A7"/>
    <w:pPr>
      <w:numPr>
        <w:ilvl w:val="6"/>
        <w:numId w:val="16"/>
      </w:numPr>
      <w:spacing w:before="240" w:after="60" w:line="240" w:lineRule="auto"/>
      <w:outlineLvl w:val="6"/>
    </w:pPr>
    <w:rPr>
      <w:rFonts w:ascii="Times New Roman" w:eastAsia="Times New Roman" w:hAnsi="Times New Roman" w:cs="Arial"/>
      <w:sz w:val="24"/>
      <w:szCs w:val="20"/>
    </w:rPr>
  </w:style>
  <w:style w:type="paragraph" w:styleId="Heading8">
    <w:name w:val="heading 8"/>
    <w:basedOn w:val="Normal"/>
    <w:next w:val="Normal"/>
    <w:link w:val="Heading8Char"/>
    <w:qFormat/>
    <w:rsid w:val="003142A7"/>
    <w:pPr>
      <w:numPr>
        <w:ilvl w:val="7"/>
        <w:numId w:val="16"/>
      </w:numPr>
      <w:tabs>
        <w:tab w:val="clear" w:pos="5760"/>
      </w:tabs>
      <w:spacing w:before="40" w:line="200" w:lineRule="exact"/>
      <w:ind w:left="144" w:hanging="144"/>
      <w:outlineLvl w:val="7"/>
    </w:pPr>
    <w:rPr>
      <w:rFonts w:ascii="Calibri" w:eastAsia="Times New Roman" w:hAnsi="Calibri" w:cs="Arial"/>
      <w:i/>
      <w:iCs/>
      <w:sz w:val="18"/>
      <w:szCs w:val="20"/>
    </w:rPr>
  </w:style>
  <w:style w:type="paragraph" w:styleId="Heading9">
    <w:name w:val="heading 9"/>
    <w:basedOn w:val="Normal"/>
    <w:next w:val="Normal"/>
    <w:link w:val="Heading9Char"/>
    <w:qFormat/>
    <w:rsid w:val="003142A7"/>
    <w:pPr>
      <w:numPr>
        <w:ilvl w:val="8"/>
        <w:numId w:val="16"/>
      </w:numPr>
      <w:spacing w:before="240" w:after="6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list">
    <w:name w:val="PP list"/>
    <w:basedOn w:val="Normal"/>
    <w:qFormat/>
    <w:rsid w:val="00610661"/>
    <w:pPr>
      <w:widowControl w:val="0"/>
      <w:numPr>
        <w:numId w:val="1"/>
      </w:numPr>
      <w:tabs>
        <w:tab w:val="left" w:pos="144"/>
      </w:tabs>
      <w:spacing w:before="40" w:line="200" w:lineRule="exact"/>
    </w:pPr>
    <w:rPr>
      <w:rFonts w:ascii="Calibri" w:eastAsia="Times New Roman" w:hAnsi="Calibri" w:cs="Calibri"/>
      <w:sz w:val="18"/>
      <w:szCs w:val="18"/>
    </w:rPr>
  </w:style>
  <w:style w:type="paragraph" w:customStyle="1" w:styleId="PPtext">
    <w:name w:val="PP text"/>
    <w:basedOn w:val="Normal"/>
    <w:link w:val="PPtextChar"/>
    <w:rsid w:val="00CD791C"/>
    <w:pPr>
      <w:widowControl w:val="0"/>
      <w:tabs>
        <w:tab w:val="left" w:pos="288"/>
      </w:tabs>
      <w:spacing w:line="220" w:lineRule="exact"/>
    </w:pPr>
    <w:rPr>
      <w:rFonts w:ascii="Calibri" w:eastAsia="Times New Roman" w:hAnsi="Calibri" w:cs="Calibri"/>
      <w:sz w:val="20"/>
      <w:szCs w:val="20"/>
    </w:rPr>
  </w:style>
  <w:style w:type="character" w:customStyle="1" w:styleId="PPtextChar">
    <w:name w:val="PP text Char"/>
    <w:link w:val="PPtext"/>
    <w:locked/>
    <w:rsid w:val="00CD791C"/>
    <w:rPr>
      <w:rFonts w:ascii="Calibri" w:eastAsia="Times New Roman" w:hAnsi="Calibri" w:cs="Calibri"/>
      <w:sz w:val="20"/>
      <w:szCs w:val="20"/>
    </w:rPr>
  </w:style>
  <w:style w:type="paragraph" w:customStyle="1" w:styleId="PPSub">
    <w:name w:val="PP Sub"/>
    <w:basedOn w:val="Normal"/>
    <w:rsid w:val="009C06C7"/>
    <w:pPr>
      <w:widowControl w:val="0"/>
      <w:autoSpaceDE w:val="0"/>
      <w:autoSpaceDN w:val="0"/>
      <w:adjustRightInd w:val="0"/>
      <w:spacing w:line="220" w:lineRule="exact"/>
      <w:jc w:val="both"/>
    </w:pPr>
    <w:rPr>
      <w:rFonts w:eastAsia="Times New Roman" w:cs="Calibri"/>
      <w:b/>
      <w:bCs/>
      <w:i/>
      <w:iCs/>
      <w:color w:val="AB8422" w:themeColor="background2"/>
      <w:sz w:val="20"/>
      <w:szCs w:val="20"/>
    </w:rPr>
  </w:style>
  <w:style w:type="paragraph" w:customStyle="1" w:styleId="PPquote">
    <w:name w:val="PP quote"/>
    <w:basedOn w:val="Normal"/>
    <w:link w:val="PPquoteChar"/>
    <w:rsid w:val="00FF6084"/>
    <w:pPr>
      <w:widowControl w:val="0"/>
      <w:spacing w:before="60" w:line="200" w:lineRule="exact"/>
      <w:ind w:left="144" w:right="144"/>
    </w:pPr>
    <w:rPr>
      <w:rFonts w:eastAsia="Times New Roman" w:cs="Calibri"/>
      <w:sz w:val="18"/>
      <w:szCs w:val="18"/>
    </w:rPr>
  </w:style>
  <w:style w:type="table" w:styleId="TableGrid">
    <w:name w:val="Table Grid"/>
    <w:basedOn w:val="TableNormal"/>
    <w:uiPriority w:val="39"/>
    <w:rsid w:val="00090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142A7"/>
    <w:rPr>
      <w:rFonts w:eastAsia="Times New Roman" w:cs="Arial"/>
      <w:b/>
      <w:bCs/>
      <w:kern w:val="32"/>
      <w:sz w:val="32"/>
      <w:szCs w:val="32"/>
    </w:rPr>
  </w:style>
  <w:style w:type="character" w:customStyle="1" w:styleId="Heading2Char">
    <w:name w:val="Heading 2 Char"/>
    <w:basedOn w:val="DefaultParagraphFont"/>
    <w:link w:val="Heading2"/>
    <w:rsid w:val="003142A7"/>
    <w:rPr>
      <w:rFonts w:eastAsia="Times New Roman" w:cs="Arial"/>
      <w:b/>
      <w:bCs/>
      <w:i/>
      <w:iCs/>
      <w:sz w:val="28"/>
      <w:szCs w:val="28"/>
    </w:rPr>
  </w:style>
  <w:style w:type="character" w:customStyle="1" w:styleId="Heading3Char">
    <w:name w:val="Heading 3 Char"/>
    <w:basedOn w:val="DefaultParagraphFont"/>
    <w:link w:val="Heading3"/>
    <w:rsid w:val="003142A7"/>
    <w:rPr>
      <w:rFonts w:eastAsia="Times New Roman" w:cs="Arial"/>
      <w:b/>
      <w:bCs/>
      <w:sz w:val="26"/>
      <w:szCs w:val="26"/>
    </w:rPr>
  </w:style>
  <w:style w:type="character" w:customStyle="1" w:styleId="Heading4Char">
    <w:name w:val="Heading 4 Char"/>
    <w:basedOn w:val="DefaultParagraphFont"/>
    <w:link w:val="Heading4"/>
    <w:rsid w:val="003142A7"/>
    <w:rPr>
      <w:rFonts w:ascii="Times New Roman" w:eastAsia="Times New Roman" w:hAnsi="Times New Roman" w:cs="Arial"/>
      <w:b/>
      <w:bCs/>
      <w:sz w:val="28"/>
      <w:szCs w:val="28"/>
    </w:rPr>
  </w:style>
  <w:style w:type="character" w:customStyle="1" w:styleId="Heading5Char">
    <w:name w:val="Heading 5 Char"/>
    <w:basedOn w:val="DefaultParagraphFont"/>
    <w:link w:val="Heading5"/>
    <w:rsid w:val="003142A7"/>
    <w:rPr>
      <w:rFonts w:eastAsia="Times New Roman" w:cs="Arial"/>
      <w:b/>
      <w:bCs/>
      <w:i/>
      <w:iCs/>
      <w:sz w:val="26"/>
      <w:szCs w:val="26"/>
    </w:rPr>
  </w:style>
  <w:style w:type="character" w:customStyle="1" w:styleId="Heading6Char">
    <w:name w:val="Heading 6 Char"/>
    <w:basedOn w:val="DefaultParagraphFont"/>
    <w:link w:val="Heading6"/>
    <w:rsid w:val="003142A7"/>
    <w:rPr>
      <w:rFonts w:ascii="Times New Roman" w:eastAsia="Times New Roman" w:hAnsi="Times New Roman" w:cs="Arial"/>
      <w:b/>
      <w:bCs/>
    </w:rPr>
  </w:style>
  <w:style w:type="character" w:customStyle="1" w:styleId="Heading7Char">
    <w:name w:val="Heading 7 Char"/>
    <w:basedOn w:val="DefaultParagraphFont"/>
    <w:link w:val="Heading7"/>
    <w:rsid w:val="003142A7"/>
    <w:rPr>
      <w:rFonts w:ascii="Times New Roman" w:eastAsia="Times New Roman" w:hAnsi="Times New Roman" w:cs="Arial"/>
      <w:sz w:val="24"/>
      <w:szCs w:val="20"/>
    </w:rPr>
  </w:style>
  <w:style w:type="character" w:customStyle="1" w:styleId="Heading8Char">
    <w:name w:val="Heading 8 Char"/>
    <w:basedOn w:val="DefaultParagraphFont"/>
    <w:link w:val="Heading8"/>
    <w:rsid w:val="003142A7"/>
    <w:rPr>
      <w:rFonts w:ascii="Calibri" w:eastAsia="Times New Roman" w:hAnsi="Calibri" w:cs="Arial"/>
      <w:i/>
      <w:iCs/>
      <w:sz w:val="18"/>
      <w:szCs w:val="20"/>
    </w:rPr>
  </w:style>
  <w:style w:type="character" w:customStyle="1" w:styleId="Heading9Char">
    <w:name w:val="Heading 9 Char"/>
    <w:basedOn w:val="DefaultParagraphFont"/>
    <w:link w:val="Heading9"/>
    <w:rsid w:val="003142A7"/>
    <w:rPr>
      <w:rFonts w:eastAsia="Times New Roman" w:cs="Arial"/>
    </w:rPr>
  </w:style>
  <w:style w:type="character" w:customStyle="1" w:styleId="PPquoteChar">
    <w:name w:val="PP quote Char"/>
    <w:link w:val="PPquote"/>
    <w:locked/>
    <w:rsid w:val="00FF6084"/>
    <w:rPr>
      <w:rFonts w:eastAsia="Times New Roman" w:cs="Calibri"/>
      <w:sz w:val="18"/>
      <w:szCs w:val="18"/>
    </w:rPr>
  </w:style>
  <w:style w:type="paragraph" w:customStyle="1" w:styleId="PPlist2ndlevel">
    <w:name w:val="PP list 2nd level"/>
    <w:basedOn w:val="PPlist"/>
    <w:qFormat/>
    <w:rsid w:val="00F37FDE"/>
    <w:pPr>
      <w:numPr>
        <w:numId w:val="17"/>
      </w:numPr>
      <w:ind w:left="288" w:hanging="144"/>
    </w:pPr>
  </w:style>
  <w:style w:type="numbering" w:customStyle="1" w:styleId="1ai910313">
    <w:name w:val="1 / a / i910313"/>
    <w:basedOn w:val="NoList"/>
    <w:semiHidden/>
    <w:rsid w:val="005302E8"/>
    <w:pPr>
      <w:numPr>
        <w:numId w:val="18"/>
      </w:numPr>
    </w:pPr>
  </w:style>
  <w:style w:type="table" w:customStyle="1" w:styleId="TableGrid1">
    <w:name w:val="Table Grid1"/>
    <w:basedOn w:val="TableNormal"/>
    <w:next w:val="TableGrid"/>
    <w:rsid w:val="00C3162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32CE"/>
    <w:rPr>
      <w:color w:val="165788" w:themeColor="hyperlink"/>
      <w:u w:val="single"/>
    </w:rPr>
  </w:style>
  <w:style w:type="character" w:styleId="UnresolvedMention">
    <w:name w:val="Unresolved Mention"/>
    <w:basedOn w:val="DefaultParagraphFont"/>
    <w:uiPriority w:val="99"/>
    <w:semiHidden/>
    <w:unhideWhenUsed/>
    <w:rsid w:val="009B32CE"/>
    <w:rPr>
      <w:color w:val="605E5C"/>
      <w:shd w:val="clear" w:color="auto" w:fill="E1DFDD"/>
    </w:rPr>
  </w:style>
  <w:style w:type="numbering" w:customStyle="1" w:styleId="CurrentList61">
    <w:name w:val="CurrentList61"/>
    <w:rsid w:val="00701078"/>
  </w:style>
  <w:style w:type="table" w:customStyle="1" w:styleId="TableGrid2">
    <w:name w:val="Table Grid2"/>
    <w:basedOn w:val="TableNormal"/>
    <w:next w:val="TableGrid"/>
    <w:rsid w:val="00ED64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057">
      <w:bodyDiv w:val="1"/>
      <w:marLeft w:val="0"/>
      <w:marRight w:val="0"/>
      <w:marTop w:val="0"/>
      <w:marBottom w:val="0"/>
      <w:divBdr>
        <w:top w:val="none" w:sz="0" w:space="0" w:color="auto"/>
        <w:left w:val="none" w:sz="0" w:space="0" w:color="auto"/>
        <w:bottom w:val="none" w:sz="0" w:space="0" w:color="auto"/>
        <w:right w:val="none" w:sz="0" w:space="0" w:color="auto"/>
      </w:divBdr>
    </w:div>
    <w:div w:id="66193383">
      <w:bodyDiv w:val="1"/>
      <w:marLeft w:val="0"/>
      <w:marRight w:val="0"/>
      <w:marTop w:val="0"/>
      <w:marBottom w:val="0"/>
      <w:divBdr>
        <w:top w:val="none" w:sz="0" w:space="0" w:color="auto"/>
        <w:left w:val="none" w:sz="0" w:space="0" w:color="auto"/>
        <w:bottom w:val="none" w:sz="0" w:space="0" w:color="auto"/>
        <w:right w:val="none" w:sz="0" w:space="0" w:color="auto"/>
      </w:divBdr>
    </w:div>
    <w:div w:id="97331050">
      <w:bodyDiv w:val="1"/>
      <w:marLeft w:val="0"/>
      <w:marRight w:val="0"/>
      <w:marTop w:val="0"/>
      <w:marBottom w:val="0"/>
      <w:divBdr>
        <w:top w:val="none" w:sz="0" w:space="0" w:color="auto"/>
        <w:left w:val="none" w:sz="0" w:space="0" w:color="auto"/>
        <w:bottom w:val="none" w:sz="0" w:space="0" w:color="auto"/>
        <w:right w:val="none" w:sz="0" w:space="0" w:color="auto"/>
      </w:divBdr>
    </w:div>
    <w:div w:id="219826538">
      <w:bodyDiv w:val="1"/>
      <w:marLeft w:val="0"/>
      <w:marRight w:val="0"/>
      <w:marTop w:val="0"/>
      <w:marBottom w:val="0"/>
      <w:divBdr>
        <w:top w:val="none" w:sz="0" w:space="0" w:color="auto"/>
        <w:left w:val="none" w:sz="0" w:space="0" w:color="auto"/>
        <w:bottom w:val="none" w:sz="0" w:space="0" w:color="auto"/>
        <w:right w:val="none" w:sz="0" w:space="0" w:color="auto"/>
      </w:divBdr>
    </w:div>
    <w:div w:id="275142429">
      <w:bodyDiv w:val="1"/>
      <w:marLeft w:val="0"/>
      <w:marRight w:val="0"/>
      <w:marTop w:val="0"/>
      <w:marBottom w:val="0"/>
      <w:divBdr>
        <w:top w:val="none" w:sz="0" w:space="0" w:color="auto"/>
        <w:left w:val="none" w:sz="0" w:space="0" w:color="auto"/>
        <w:bottom w:val="none" w:sz="0" w:space="0" w:color="auto"/>
        <w:right w:val="none" w:sz="0" w:space="0" w:color="auto"/>
      </w:divBdr>
    </w:div>
    <w:div w:id="307714562">
      <w:bodyDiv w:val="1"/>
      <w:marLeft w:val="0"/>
      <w:marRight w:val="0"/>
      <w:marTop w:val="0"/>
      <w:marBottom w:val="0"/>
      <w:divBdr>
        <w:top w:val="none" w:sz="0" w:space="0" w:color="auto"/>
        <w:left w:val="none" w:sz="0" w:space="0" w:color="auto"/>
        <w:bottom w:val="none" w:sz="0" w:space="0" w:color="auto"/>
        <w:right w:val="none" w:sz="0" w:space="0" w:color="auto"/>
      </w:divBdr>
    </w:div>
    <w:div w:id="371349880">
      <w:bodyDiv w:val="1"/>
      <w:marLeft w:val="0"/>
      <w:marRight w:val="0"/>
      <w:marTop w:val="0"/>
      <w:marBottom w:val="0"/>
      <w:divBdr>
        <w:top w:val="none" w:sz="0" w:space="0" w:color="auto"/>
        <w:left w:val="none" w:sz="0" w:space="0" w:color="auto"/>
        <w:bottom w:val="none" w:sz="0" w:space="0" w:color="auto"/>
        <w:right w:val="none" w:sz="0" w:space="0" w:color="auto"/>
      </w:divBdr>
    </w:div>
    <w:div w:id="379791642">
      <w:bodyDiv w:val="1"/>
      <w:marLeft w:val="0"/>
      <w:marRight w:val="0"/>
      <w:marTop w:val="0"/>
      <w:marBottom w:val="0"/>
      <w:divBdr>
        <w:top w:val="none" w:sz="0" w:space="0" w:color="auto"/>
        <w:left w:val="none" w:sz="0" w:space="0" w:color="auto"/>
        <w:bottom w:val="none" w:sz="0" w:space="0" w:color="auto"/>
        <w:right w:val="none" w:sz="0" w:space="0" w:color="auto"/>
      </w:divBdr>
    </w:div>
    <w:div w:id="420103085">
      <w:bodyDiv w:val="1"/>
      <w:marLeft w:val="0"/>
      <w:marRight w:val="0"/>
      <w:marTop w:val="0"/>
      <w:marBottom w:val="0"/>
      <w:divBdr>
        <w:top w:val="none" w:sz="0" w:space="0" w:color="auto"/>
        <w:left w:val="none" w:sz="0" w:space="0" w:color="auto"/>
        <w:bottom w:val="none" w:sz="0" w:space="0" w:color="auto"/>
        <w:right w:val="none" w:sz="0" w:space="0" w:color="auto"/>
      </w:divBdr>
    </w:div>
    <w:div w:id="447626114">
      <w:bodyDiv w:val="1"/>
      <w:marLeft w:val="0"/>
      <w:marRight w:val="0"/>
      <w:marTop w:val="0"/>
      <w:marBottom w:val="0"/>
      <w:divBdr>
        <w:top w:val="none" w:sz="0" w:space="0" w:color="auto"/>
        <w:left w:val="none" w:sz="0" w:space="0" w:color="auto"/>
        <w:bottom w:val="none" w:sz="0" w:space="0" w:color="auto"/>
        <w:right w:val="none" w:sz="0" w:space="0" w:color="auto"/>
      </w:divBdr>
    </w:div>
    <w:div w:id="447941069">
      <w:bodyDiv w:val="1"/>
      <w:marLeft w:val="0"/>
      <w:marRight w:val="0"/>
      <w:marTop w:val="0"/>
      <w:marBottom w:val="0"/>
      <w:divBdr>
        <w:top w:val="none" w:sz="0" w:space="0" w:color="auto"/>
        <w:left w:val="none" w:sz="0" w:space="0" w:color="auto"/>
        <w:bottom w:val="none" w:sz="0" w:space="0" w:color="auto"/>
        <w:right w:val="none" w:sz="0" w:space="0" w:color="auto"/>
      </w:divBdr>
    </w:div>
    <w:div w:id="554702852">
      <w:bodyDiv w:val="1"/>
      <w:marLeft w:val="0"/>
      <w:marRight w:val="0"/>
      <w:marTop w:val="0"/>
      <w:marBottom w:val="0"/>
      <w:divBdr>
        <w:top w:val="none" w:sz="0" w:space="0" w:color="auto"/>
        <w:left w:val="none" w:sz="0" w:space="0" w:color="auto"/>
        <w:bottom w:val="none" w:sz="0" w:space="0" w:color="auto"/>
        <w:right w:val="none" w:sz="0" w:space="0" w:color="auto"/>
      </w:divBdr>
    </w:div>
    <w:div w:id="667096126">
      <w:bodyDiv w:val="1"/>
      <w:marLeft w:val="0"/>
      <w:marRight w:val="0"/>
      <w:marTop w:val="0"/>
      <w:marBottom w:val="0"/>
      <w:divBdr>
        <w:top w:val="none" w:sz="0" w:space="0" w:color="auto"/>
        <w:left w:val="none" w:sz="0" w:space="0" w:color="auto"/>
        <w:bottom w:val="none" w:sz="0" w:space="0" w:color="auto"/>
        <w:right w:val="none" w:sz="0" w:space="0" w:color="auto"/>
      </w:divBdr>
    </w:div>
    <w:div w:id="691420591">
      <w:bodyDiv w:val="1"/>
      <w:marLeft w:val="0"/>
      <w:marRight w:val="0"/>
      <w:marTop w:val="0"/>
      <w:marBottom w:val="0"/>
      <w:divBdr>
        <w:top w:val="none" w:sz="0" w:space="0" w:color="auto"/>
        <w:left w:val="none" w:sz="0" w:space="0" w:color="auto"/>
        <w:bottom w:val="none" w:sz="0" w:space="0" w:color="auto"/>
        <w:right w:val="none" w:sz="0" w:space="0" w:color="auto"/>
      </w:divBdr>
    </w:div>
    <w:div w:id="718475980">
      <w:bodyDiv w:val="1"/>
      <w:marLeft w:val="0"/>
      <w:marRight w:val="0"/>
      <w:marTop w:val="0"/>
      <w:marBottom w:val="0"/>
      <w:divBdr>
        <w:top w:val="none" w:sz="0" w:space="0" w:color="auto"/>
        <w:left w:val="none" w:sz="0" w:space="0" w:color="auto"/>
        <w:bottom w:val="none" w:sz="0" w:space="0" w:color="auto"/>
        <w:right w:val="none" w:sz="0" w:space="0" w:color="auto"/>
      </w:divBdr>
    </w:div>
    <w:div w:id="719207859">
      <w:bodyDiv w:val="1"/>
      <w:marLeft w:val="0"/>
      <w:marRight w:val="0"/>
      <w:marTop w:val="0"/>
      <w:marBottom w:val="0"/>
      <w:divBdr>
        <w:top w:val="none" w:sz="0" w:space="0" w:color="auto"/>
        <w:left w:val="none" w:sz="0" w:space="0" w:color="auto"/>
        <w:bottom w:val="none" w:sz="0" w:space="0" w:color="auto"/>
        <w:right w:val="none" w:sz="0" w:space="0" w:color="auto"/>
      </w:divBdr>
    </w:div>
    <w:div w:id="727920753">
      <w:bodyDiv w:val="1"/>
      <w:marLeft w:val="0"/>
      <w:marRight w:val="0"/>
      <w:marTop w:val="0"/>
      <w:marBottom w:val="0"/>
      <w:divBdr>
        <w:top w:val="none" w:sz="0" w:space="0" w:color="auto"/>
        <w:left w:val="none" w:sz="0" w:space="0" w:color="auto"/>
        <w:bottom w:val="none" w:sz="0" w:space="0" w:color="auto"/>
        <w:right w:val="none" w:sz="0" w:space="0" w:color="auto"/>
      </w:divBdr>
    </w:div>
    <w:div w:id="845486518">
      <w:bodyDiv w:val="1"/>
      <w:marLeft w:val="0"/>
      <w:marRight w:val="0"/>
      <w:marTop w:val="0"/>
      <w:marBottom w:val="0"/>
      <w:divBdr>
        <w:top w:val="none" w:sz="0" w:space="0" w:color="auto"/>
        <w:left w:val="none" w:sz="0" w:space="0" w:color="auto"/>
        <w:bottom w:val="none" w:sz="0" w:space="0" w:color="auto"/>
        <w:right w:val="none" w:sz="0" w:space="0" w:color="auto"/>
      </w:divBdr>
    </w:div>
    <w:div w:id="1006058152">
      <w:bodyDiv w:val="1"/>
      <w:marLeft w:val="0"/>
      <w:marRight w:val="0"/>
      <w:marTop w:val="0"/>
      <w:marBottom w:val="0"/>
      <w:divBdr>
        <w:top w:val="none" w:sz="0" w:space="0" w:color="auto"/>
        <w:left w:val="none" w:sz="0" w:space="0" w:color="auto"/>
        <w:bottom w:val="none" w:sz="0" w:space="0" w:color="auto"/>
        <w:right w:val="none" w:sz="0" w:space="0" w:color="auto"/>
      </w:divBdr>
    </w:div>
    <w:div w:id="1085954200">
      <w:bodyDiv w:val="1"/>
      <w:marLeft w:val="0"/>
      <w:marRight w:val="0"/>
      <w:marTop w:val="0"/>
      <w:marBottom w:val="0"/>
      <w:divBdr>
        <w:top w:val="none" w:sz="0" w:space="0" w:color="auto"/>
        <w:left w:val="none" w:sz="0" w:space="0" w:color="auto"/>
        <w:bottom w:val="none" w:sz="0" w:space="0" w:color="auto"/>
        <w:right w:val="none" w:sz="0" w:space="0" w:color="auto"/>
      </w:divBdr>
    </w:div>
    <w:div w:id="1254434179">
      <w:bodyDiv w:val="1"/>
      <w:marLeft w:val="0"/>
      <w:marRight w:val="0"/>
      <w:marTop w:val="0"/>
      <w:marBottom w:val="0"/>
      <w:divBdr>
        <w:top w:val="none" w:sz="0" w:space="0" w:color="auto"/>
        <w:left w:val="none" w:sz="0" w:space="0" w:color="auto"/>
        <w:bottom w:val="none" w:sz="0" w:space="0" w:color="auto"/>
        <w:right w:val="none" w:sz="0" w:space="0" w:color="auto"/>
      </w:divBdr>
    </w:div>
    <w:div w:id="1271663691">
      <w:bodyDiv w:val="1"/>
      <w:marLeft w:val="0"/>
      <w:marRight w:val="0"/>
      <w:marTop w:val="0"/>
      <w:marBottom w:val="0"/>
      <w:divBdr>
        <w:top w:val="none" w:sz="0" w:space="0" w:color="auto"/>
        <w:left w:val="none" w:sz="0" w:space="0" w:color="auto"/>
        <w:bottom w:val="none" w:sz="0" w:space="0" w:color="auto"/>
        <w:right w:val="none" w:sz="0" w:space="0" w:color="auto"/>
      </w:divBdr>
    </w:div>
    <w:div w:id="1295405673">
      <w:bodyDiv w:val="1"/>
      <w:marLeft w:val="0"/>
      <w:marRight w:val="0"/>
      <w:marTop w:val="0"/>
      <w:marBottom w:val="0"/>
      <w:divBdr>
        <w:top w:val="none" w:sz="0" w:space="0" w:color="auto"/>
        <w:left w:val="none" w:sz="0" w:space="0" w:color="auto"/>
        <w:bottom w:val="none" w:sz="0" w:space="0" w:color="auto"/>
        <w:right w:val="none" w:sz="0" w:space="0" w:color="auto"/>
      </w:divBdr>
    </w:div>
    <w:div w:id="1311447866">
      <w:bodyDiv w:val="1"/>
      <w:marLeft w:val="0"/>
      <w:marRight w:val="0"/>
      <w:marTop w:val="0"/>
      <w:marBottom w:val="0"/>
      <w:divBdr>
        <w:top w:val="none" w:sz="0" w:space="0" w:color="auto"/>
        <w:left w:val="none" w:sz="0" w:space="0" w:color="auto"/>
        <w:bottom w:val="none" w:sz="0" w:space="0" w:color="auto"/>
        <w:right w:val="none" w:sz="0" w:space="0" w:color="auto"/>
      </w:divBdr>
    </w:div>
    <w:div w:id="1395081175">
      <w:bodyDiv w:val="1"/>
      <w:marLeft w:val="0"/>
      <w:marRight w:val="0"/>
      <w:marTop w:val="0"/>
      <w:marBottom w:val="0"/>
      <w:divBdr>
        <w:top w:val="none" w:sz="0" w:space="0" w:color="auto"/>
        <w:left w:val="none" w:sz="0" w:space="0" w:color="auto"/>
        <w:bottom w:val="none" w:sz="0" w:space="0" w:color="auto"/>
        <w:right w:val="none" w:sz="0" w:space="0" w:color="auto"/>
      </w:divBdr>
    </w:div>
    <w:div w:id="1461681312">
      <w:bodyDiv w:val="1"/>
      <w:marLeft w:val="0"/>
      <w:marRight w:val="0"/>
      <w:marTop w:val="0"/>
      <w:marBottom w:val="0"/>
      <w:divBdr>
        <w:top w:val="none" w:sz="0" w:space="0" w:color="auto"/>
        <w:left w:val="none" w:sz="0" w:space="0" w:color="auto"/>
        <w:bottom w:val="none" w:sz="0" w:space="0" w:color="auto"/>
        <w:right w:val="none" w:sz="0" w:space="0" w:color="auto"/>
      </w:divBdr>
    </w:div>
    <w:div w:id="1556624903">
      <w:bodyDiv w:val="1"/>
      <w:marLeft w:val="0"/>
      <w:marRight w:val="0"/>
      <w:marTop w:val="0"/>
      <w:marBottom w:val="0"/>
      <w:divBdr>
        <w:top w:val="none" w:sz="0" w:space="0" w:color="auto"/>
        <w:left w:val="none" w:sz="0" w:space="0" w:color="auto"/>
        <w:bottom w:val="none" w:sz="0" w:space="0" w:color="auto"/>
        <w:right w:val="none" w:sz="0" w:space="0" w:color="auto"/>
      </w:divBdr>
    </w:div>
    <w:div w:id="1625303808">
      <w:bodyDiv w:val="1"/>
      <w:marLeft w:val="0"/>
      <w:marRight w:val="0"/>
      <w:marTop w:val="0"/>
      <w:marBottom w:val="0"/>
      <w:divBdr>
        <w:top w:val="none" w:sz="0" w:space="0" w:color="auto"/>
        <w:left w:val="none" w:sz="0" w:space="0" w:color="auto"/>
        <w:bottom w:val="none" w:sz="0" w:space="0" w:color="auto"/>
        <w:right w:val="none" w:sz="0" w:space="0" w:color="auto"/>
      </w:divBdr>
    </w:div>
    <w:div w:id="1629507246">
      <w:bodyDiv w:val="1"/>
      <w:marLeft w:val="0"/>
      <w:marRight w:val="0"/>
      <w:marTop w:val="0"/>
      <w:marBottom w:val="0"/>
      <w:divBdr>
        <w:top w:val="none" w:sz="0" w:space="0" w:color="auto"/>
        <w:left w:val="none" w:sz="0" w:space="0" w:color="auto"/>
        <w:bottom w:val="none" w:sz="0" w:space="0" w:color="auto"/>
        <w:right w:val="none" w:sz="0" w:space="0" w:color="auto"/>
      </w:divBdr>
    </w:div>
    <w:div w:id="1764958828">
      <w:bodyDiv w:val="1"/>
      <w:marLeft w:val="0"/>
      <w:marRight w:val="0"/>
      <w:marTop w:val="0"/>
      <w:marBottom w:val="0"/>
      <w:divBdr>
        <w:top w:val="none" w:sz="0" w:space="0" w:color="auto"/>
        <w:left w:val="none" w:sz="0" w:space="0" w:color="auto"/>
        <w:bottom w:val="none" w:sz="0" w:space="0" w:color="auto"/>
        <w:right w:val="none" w:sz="0" w:space="0" w:color="auto"/>
      </w:divBdr>
    </w:div>
    <w:div w:id="2118862399">
      <w:bodyDiv w:val="1"/>
      <w:marLeft w:val="0"/>
      <w:marRight w:val="0"/>
      <w:marTop w:val="0"/>
      <w:marBottom w:val="0"/>
      <w:divBdr>
        <w:top w:val="none" w:sz="0" w:space="0" w:color="auto"/>
        <w:left w:val="none" w:sz="0" w:space="0" w:color="auto"/>
        <w:bottom w:val="none" w:sz="0" w:space="0" w:color="auto"/>
        <w:right w:val="none" w:sz="0" w:space="0" w:color="auto"/>
      </w:divBdr>
    </w:div>
    <w:div w:id="2136674264">
      <w:bodyDiv w:val="1"/>
      <w:marLeft w:val="0"/>
      <w:marRight w:val="0"/>
      <w:marTop w:val="0"/>
      <w:marBottom w:val="0"/>
      <w:divBdr>
        <w:top w:val="none" w:sz="0" w:space="0" w:color="auto"/>
        <w:left w:val="none" w:sz="0" w:space="0" w:color="auto"/>
        <w:bottom w:val="none" w:sz="0" w:space="0" w:color="auto"/>
        <w:right w:val="none" w:sz="0" w:space="0" w:color="auto"/>
      </w:divBdr>
    </w:div>
    <w:div w:id="213675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HNews">
  <a:themeElements>
    <a:clrScheme name="PPTS">
      <a:dk1>
        <a:srgbClr val="165788"/>
      </a:dk1>
      <a:lt1>
        <a:srgbClr val="FFFFFF"/>
      </a:lt1>
      <a:dk2>
        <a:srgbClr val="CE8E00"/>
      </a:dk2>
      <a:lt2>
        <a:srgbClr val="AB8422"/>
      </a:lt2>
      <a:accent1>
        <a:srgbClr val="003F72"/>
      </a:accent1>
      <a:accent2>
        <a:srgbClr val="B7621B"/>
      </a:accent2>
      <a:accent3>
        <a:srgbClr val="662046"/>
      </a:accent3>
      <a:accent4>
        <a:srgbClr val="2C5E4F"/>
      </a:accent4>
      <a:accent5>
        <a:srgbClr val="1E9D8B"/>
      </a:accent5>
      <a:accent6>
        <a:srgbClr val="723D14"/>
      </a:accent6>
      <a:hlink>
        <a:srgbClr val="165788"/>
      </a:hlink>
      <a:folHlink>
        <a:srgbClr val="16578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Raymond</dc:creator>
  <cp:keywords/>
  <dc:description/>
  <cp:lastModifiedBy>Valerie Sheinker</cp:lastModifiedBy>
  <cp:revision>2</cp:revision>
  <dcterms:created xsi:type="dcterms:W3CDTF">2024-01-08T14:47:00Z</dcterms:created>
  <dcterms:modified xsi:type="dcterms:W3CDTF">2024-01-08T14:47:00Z</dcterms:modified>
</cp:coreProperties>
</file>