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941E4" w14:textId="38C3461E" w:rsidR="00584623" w:rsidRPr="00032377" w:rsidRDefault="00EB552D">
      <w:pPr>
        <w:rPr>
          <w:rFonts w:ascii="Merriweather Black" w:hAnsi="Merriweather Black"/>
          <w:color w:val="165788" w:themeColor="text1"/>
          <w:sz w:val="36"/>
          <w:szCs w:val="36"/>
        </w:rPr>
      </w:pPr>
      <w:r w:rsidRPr="00EB552D">
        <w:rPr>
          <w:rFonts w:ascii="Merriweather Black" w:hAnsi="Merriweather Black"/>
          <w:color w:val="165788" w:themeColor="text1"/>
          <w:sz w:val="36"/>
          <w:szCs w:val="36"/>
        </w:rPr>
        <w:t>Mailers Hub News</w:t>
      </w:r>
    </w:p>
    <w:p w14:paraId="4ACBB78D" w14:textId="1C4CB1BE" w:rsidR="000127AD" w:rsidRPr="00032377" w:rsidRDefault="00696922">
      <w:pPr>
        <w:rPr>
          <w:rFonts w:cstheme="minorHAnsi"/>
          <w:i/>
          <w:iCs/>
          <w:color w:val="165788" w:themeColor="text1"/>
        </w:rPr>
      </w:pPr>
      <w:r>
        <w:rPr>
          <w:rFonts w:ascii="Merriweather Black" w:hAnsi="Merriweather Black"/>
          <w:color w:val="165788" w:themeColor="text1"/>
        </w:rPr>
        <w:t>March</w:t>
      </w:r>
      <w:r w:rsidR="00EB552D">
        <w:rPr>
          <w:rFonts w:ascii="Merriweather Black" w:hAnsi="Merriweather Black"/>
          <w:color w:val="165788" w:themeColor="text1"/>
        </w:rPr>
        <w:t xml:space="preserve"> </w:t>
      </w:r>
      <w:r w:rsidR="0054602D">
        <w:rPr>
          <w:rFonts w:ascii="Merriweather Black" w:hAnsi="Merriweather Black"/>
          <w:color w:val="165788" w:themeColor="text1"/>
        </w:rPr>
        <w:t xml:space="preserve">2024 </w:t>
      </w:r>
      <w:proofErr w:type="gramStart"/>
      <w:r w:rsidR="00EB552D">
        <w:rPr>
          <w:rFonts w:ascii="Merriweather Black" w:hAnsi="Merriweather Black"/>
          <w:color w:val="165788" w:themeColor="text1"/>
        </w:rPr>
        <w:t>Summary</w:t>
      </w:r>
      <w:r w:rsidR="002E669B">
        <w:rPr>
          <w:rFonts w:ascii="Merriweather Black" w:hAnsi="Merriweather Black"/>
          <w:color w:val="165788" w:themeColor="text1"/>
        </w:rPr>
        <w:t xml:space="preserve">  </w:t>
      </w:r>
      <w:r w:rsidR="00032377">
        <w:rPr>
          <w:rFonts w:cstheme="minorHAnsi"/>
          <w:i/>
          <w:iCs/>
          <w:color w:val="165788" w:themeColor="text1"/>
        </w:rPr>
        <w:t>From</w:t>
      </w:r>
      <w:proofErr w:type="gramEnd"/>
      <w:r w:rsidR="00032377">
        <w:rPr>
          <w:rFonts w:cstheme="minorHAnsi"/>
          <w:i/>
          <w:iCs/>
          <w:color w:val="165788" w:themeColor="text1"/>
        </w:rPr>
        <w:t xml:space="preserve"> the </w:t>
      </w:r>
      <w:r>
        <w:rPr>
          <w:rFonts w:cstheme="minorHAnsi"/>
          <w:i/>
          <w:iCs/>
          <w:color w:val="165788" w:themeColor="text1"/>
        </w:rPr>
        <w:t>March</w:t>
      </w:r>
      <w:r w:rsidR="006C3A3F">
        <w:rPr>
          <w:rFonts w:cstheme="minorHAnsi"/>
          <w:i/>
          <w:iCs/>
          <w:color w:val="165788" w:themeColor="text1"/>
        </w:rPr>
        <w:t xml:space="preserve"> </w:t>
      </w:r>
      <w:r w:rsidR="0054602D">
        <w:rPr>
          <w:rFonts w:cstheme="minorHAnsi"/>
          <w:i/>
          <w:iCs/>
          <w:color w:val="165788" w:themeColor="text1"/>
        </w:rPr>
        <w:t>1</w:t>
      </w:r>
      <w:r>
        <w:rPr>
          <w:rFonts w:cstheme="minorHAnsi"/>
          <w:i/>
          <w:iCs/>
          <w:color w:val="165788" w:themeColor="text1"/>
        </w:rPr>
        <w:t>1</w:t>
      </w:r>
      <w:r w:rsidR="006C3A3F">
        <w:rPr>
          <w:rFonts w:cstheme="minorHAnsi"/>
          <w:i/>
          <w:iCs/>
          <w:color w:val="165788" w:themeColor="text1"/>
        </w:rPr>
        <w:t xml:space="preserve"> and </w:t>
      </w:r>
      <w:r w:rsidR="0054602D">
        <w:rPr>
          <w:rFonts w:cstheme="minorHAnsi"/>
          <w:i/>
          <w:iCs/>
          <w:color w:val="165788" w:themeColor="text1"/>
        </w:rPr>
        <w:t>2</w:t>
      </w:r>
      <w:r>
        <w:rPr>
          <w:rFonts w:cstheme="minorHAnsi"/>
          <w:i/>
          <w:iCs/>
          <w:color w:val="165788" w:themeColor="text1"/>
        </w:rPr>
        <w:t>5</w:t>
      </w:r>
      <w:r w:rsidR="00032377">
        <w:rPr>
          <w:rFonts w:cstheme="minorHAnsi"/>
          <w:i/>
          <w:iCs/>
          <w:color w:val="165788" w:themeColor="text1"/>
        </w:rPr>
        <w:t xml:space="preserve"> issue</w:t>
      </w:r>
      <w:r w:rsidR="00190834">
        <w:rPr>
          <w:rFonts w:cstheme="minorHAnsi"/>
          <w:i/>
          <w:iCs/>
          <w:color w:val="165788" w:themeColor="text1"/>
        </w:rPr>
        <w:t>s</w:t>
      </w:r>
    </w:p>
    <w:p w14:paraId="3FD11A43" w14:textId="0D21EDE0" w:rsidR="0079418D" w:rsidRPr="00513806" w:rsidRDefault="00C411E2" w:rsidP="00513806">
      <w:pPr>
        <w:pStyle w:val="PPSub"/>
        <w:spacing w:before="120"/>
      </w:pPr>
      <w:r w:rsidRPr="00513806">
        <w:t>“Local Transportation Optimization” Impacts Service</w:t>
      </w:r>
    </w:p>
    <w:p w14:paraId="41980E96" w14:textId="77777777" w:rsidR="00245EAF" w:rsidRPr="00245EAF" w:rsidRDefault="00245EAF" w:rsidP="007C70D0">
      <w:pPr>
        <w:pStyle w:val="PPtext"/>
      </w:pPr>
      <w:r w:rsidRPr="00245EAF">
        <w:t>Under Postmaster General Louis DeJoy, and in conformance with his 10-Year Plan, the Postal Service has obsessively pursued measures to fill trucks and reduce transportation, all in the name of “efficiency.”</w:t>
      </w:r>
    </w:p>
    <w:p w14:paraId="68C16054" w14:textId="4B20780C" w:rsidR="00245EAF" w:rsidRPr="00245EAF" w:rsidRDefault="00245EAF" w:rsidP="007C70D0">
      <w:pPr>
        <w:pStyle w:val="PPtext"/>
      </w:pPr>
      <w:r w:rsidRPr="00245EAF">
        <w:t xml:space="preserve">Initially called “Optimized Collections,” but since renamed the “Local Transportation Optimization,” the initiative’s objective is the same: run only one trip from the processing facility to local post offices in the morning to drop off the day’s </w:t>
      </w:r>
      <w:proofErr w:type="gramStart"/>
      <w:r w:rsidRPr="00245EAF">
        <w:t>deliveries, and</w:t>
      </w:r>
      <w:proofErr w:type="gramEnd"/>
      <w:r w:rsidRPr="00245EAF">
        <w:t xml:space="preserve"> eliminate the afternoon trip that would have returned the day’s retail and collection mail to the plant for outbound processing.</w:t>
      </w:r>
    </w:p>
    <w:p w14:paraId="5D9953F3" w14:textId="14DD0D74" w:rsidR="00245EAF" w:rsidRPr="00245EAF" w:rsidRDefault="00245EAF" w:rsidP="007C70D0">
      <w:pPr>
        <w:pStyle w:val="PPtext"/>
      </w:pPr>
      <w:r w:rsidRPr="00245EAF">
        <w:t>(Under a “hybrid” version, rather than a truck stopping at post office along a loop path, the truck turns around at the end of a run and stops at the same facilities on its way back to the plant, though that still may be too early to get most of a day’s retail and collection volume.)</w:t>
      </w:r>
    </w:p>
    <w:p w14:paraId="05FFD8A4" w14:textId="20DB055F" w:rsidR="00E87A38" w:rsidRPr="00E87A38" w:rsidRDefault="00E87A38" w:rsidP="007C70D0">
      <w:pPr>
        <w:pStyle w:val="PPtext"/>
      </w:pPr>
      <w:r w:rsidRPr="00E87A38">
        <w:t>Unfortunately for postal customers, not only is this campaign being prosecuted regardless of the consequences on service, but the agency is presenting it as a positive benefit to customers because it is “aligning our dispatches to our current service standards.”</w:t>
      </w:r>
    </w:p>
    <w:p w14:paraId="606D0D21" w14:textId="77777777" w:rsidR="00056004" w:rsidRDefault="00E87A38" w:rsidP="007C70D0">
      <w:pPr>
        <w:pStyle w:val="PPtext"/>
      </w:pPr>
      <w:r w:rsidRPr="007C70D0">
        <w:t>It’s an almost perverse approach: first, reduce service standard</w:t>
      </w:r>
      <w:r w:rsidRPr="00E87A38">
        <w:t>s; then implement cost reduction measures to take advantage of the lower service performance requirement; and, finally, spin the result as a creditable effort to become more “efficient.”  Reference to the impact on service is avoided.</w:t>
      </w:r>
    </w:p>
    <w:p w14:paraId="529D8580" w14:textId="77777777" w:rsidR="00056004" w:rsidRPr="00AC447F" w:rsidRDefault="00056004" w:rsidP="00056004">
      <w:pPr>
        <w:pStyle w:val="PPSub"/>
        <w:spacing w:before="50"/>
        <w:rPr>
          <w:color w:val="auto"/>
        </w:rPr>
      </w:pPr>
      <w:r w:rsidRPr="00AC447F">
        <w:rPr>
          <w:color w:val="auto"/>
        </w:rPr>
        <w:t>“Communication”</w:t>
      </w:r>
    </w:p>
    <w:p w14:paraId="00176987" w14:textId="3A8149C0" w:rsidR="00056004" w:rsidRPr="007C70D0" w:rsidRDefault="00056004" w:rsidP="007C70D0">
      <w:pPr>
        <w:pStyle w:val="PPtext"/>
      </w:pPr>
      <w:r w:rsidRPr="007C70D0">
        <w:t xml:space="preserve">In an internal presentation to managers in Oregon, </w:t>
      </w:r>
      <w:r w:rsidR="00F73F18" w:rsidRPr="007C70D0">
        <w:t xml:space="preserve">where the program was recently implemented, </w:t>
      </w:r>
      <w:r w:rsidRPr="007C70D0">
        <w:t>the USPS stated the “business impact” included “reduction in cost,” “earlier processing times,” and “increase cube,” i.e., fuller trucks.  The impact on service was not mentioned.</w:t>
      </w:r>
    </w:p>
    <w:p w14:paraId="1D381458" w14:textId="77777777" w:rsidR="00056004" w:rsidRDefault="00056004" w:rsidP="007C70D0">
      <w:pPr>
        <w:pStyle w:val="PPtext"/>
      </w:pPr>
      <w:r w:rsidRPr="007C70D0">
        <w:t>A</w:t>
      </w:r>
      <w:r>
        <w:t>s would be expected given DeJoy’s desire to control the message, attendees were told “</w:t>
      </w:r>
      <w:r w:rsidRPr="00861B89">
        <w:rPr>
          <w:shd w:val="clear" w:color="auto" w:fill="F5E9CC" w:themeFill="background2" w:themeFillTint="33"/>
        </w:rPr>
        <w:t>Do NOT respond to any media inquiries</w:t>
      </w:r>
      <w:r>
        <w:t>” and “</w:t>
      </w:r>
      <w:r w:rsidRPr="00861B89">
        <w:rPr>
          <w:shd w:val="clear" w:color="auto" w:fill="F5E9CC" w:themeFill="background2" w:themeFillTint="33"/>
        </w:rPr>
        <w:t>Do NOT talk to the drivers</w:t>
      </w:r>
      <w:r>
        <w:t xml:space="preserve"> about the project.”  The service </w:t>
      </w:r>
      <w:proofErr w:type="gramStart"/>
      <w:r>
        <w:t>talk</w:t>
      </w:r>
      <w:proofErr w:type="gramEnd"/>
      <w:r>
        <w:t xml:space="preserve"> to be given to employees also reflected a disingenuous spin on the situation:</w:t>
      </w:r>
    </w:p>
    <w:p w14:paraId="0B714592" w14:textId="77777777" w:rsidR="00056004" w:rsidRDefault="00056004" w:rsidP="00056004">
      <w:pPr>
        <w:pStyle w:val="PPquote"/>
        <w:spacing w:before="40"/>
        <w:ind w:right="0"/>
      </w:pPr>
      <w:r>
        <w:t>“</w:t>
      </w:r>
      <w:r w:rsidRPr="0022348E">
        <w:t xml:space="preserve">Now in the third year of the </w:t>
      </w:r>
      <w:r>
        <w:t xml:space="preserve">[10-Year] </w:t>
      </w:r>
      <w:r w:rsidRPr="0022348E">
        <w:t xml:space="preserve">plan, the Postal Service is continuously transforming and strengthening our business model. </w:t>
      </w:r>
      <w:r>
        <w:t xml:space="preserve"> </w:t>
      </w:r>
      <w:r w:rsidRPr="0022348E">
        <w:t xml:space="preserve">Part of the transformation involves improving our transportation network efficiency </w:t>
      </w:r>
      <w:r>
        <w:t>–</w:t>
      </w:r>
      <w:r w:rsidRPr="0022348E">
        <w:t xml:space="preserve"> </w:t>
      </w:r>
      <w:r>
        <w:t>i</w:t>
      </w:r>
      <w:r w:rsidRPr="0022348E">
        <w:t xml:space="preserve">ncluding a change at this office to optimize our process for outbound mail. </w:t>
      </w:r>
      <w:r>
        <w:t>..</w:t>
      </w:r>
      <w:r w:rsidRPr="0022348E">
        <w:t xml:space="preserve">. </w:t>
      </w:r>
      <w:r w:rsidRPr="0022348E">
        <w:rPr>
          <w:shd w:val="clear" w:color="auto" w:fill="F5E9CC" w:themeFill="background2" w:themeFillTint="33"/>
        </w:rPr>
        <w:t>Customer service will not be impacted</w:t>
      </w:r>
      <w:r w:rsidRPr="0022348E">
        <w:t xml:space="preserve"> with this change and remains aligned to meet product service standards.</w:t>
      </w:r>
      <w:r>
        <w:t>”</w:t>
      </w:r>
    </w:p>
    <w:p w14:paraId="1386ABBD" w14:textId="4F1420AB" w:rsidR="00056004" w:rsidRDefault="00056004" w:rsidP="007C70D0">
      <w:pPr>
        <w:pStyle w:val="PPtext"/>
      </w:pPr>
      <w:r>
        <w:t xml:space="preserve">The previously decreased service standards again </w:t>
      </w:r>
      <w:r w:rsidR="00F73F18">
        <w:t>we</w:t>
      </w:r>
      <w:r>
        <w:t>re used to enable real reductions in service.  Similarly, the message to be given customers reflects the Postal Service’s self-centered focus on efficiency and the assertion that the reduced collection schedule will “improve customer service with greater reliability and improved efficiencies.”</w:t>
      </w:r>
    </w:p>
    <w:p w14:paraId="0EDB766D" w14:textId="7E326320" w:rsidR="00673FDF" w:rsidRPr="00840636" w:rsidRDefault="00AC447F" w:rsidP="00C50925">
      <w:pPr>
        <w:pStyle w:val="PPtext"/>
        <w:rPr>
          <w:b/>
          <w:bCs/>
          <w:i/>
          <w:iCs/>
        </w:rPr>
      </w:pPr>
      <w:r w:rsidRPr="00840636">
        <w:rPr>
          <w:b/>
          <w:bCs/>
          <w:i/>
          <w:iCs/>
          <w:noProof/>
        </w:rPr>
        <w:drawing>
          <wp:anchor distT="0" distB="0" distL="0" distR="45720" simplePos="0" relativeHeight="251664384" behindDoc="0" locked="0" layoutInCell="1" allowOverlap="1" wp14:anchorId="650F4A70" wp14:editId="611B8C44">
            <wp:simplePos x="0" y="0"/>
            <wp:positionH relativeFrom="margin">
              <wp:align>left</wp:align>
            </wp:positionH>
            <wp:positionV relativeFrom="paragraph">
              <wp:posOffset>36228</wp:posOffset>
            </wp:positionV>
            <wp:extent cx="3145536" cy="2011924"/>
            <wp:effectExtent l="0" t="0" r="0" b="7620"/>
            <wp:wrapSquare wrapText="bothSides"/>
            <wp:docPr id="15356276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5627628" name=""/>
                    <pic:cNvPicPr/>
                  </pic:nvPicPr>
                  <pic:blipFill>
                    <a:blip r:embed="rId5">
                      <a:extLst>
                        <a:ext uri="{28A0092B-C50C-407E-A947-70E740481C1C}">
                          <a14:useLocalDpi xmlns:a14="http://schemas.microsoft.com/office/drawing/2010/main" val="0"/>
                        </a:ext>
                      </a:extLst>
                    </a:blip>
                    <a:stretch>
                      <a:fillRect/>
                    </a:stretch>
                  </pic:blipFill>
                  <pic:spPr>
                    <a:xfrm>
                      <a:off x="0" y="0"/>
                      <a:ext cx="3145536" cy="2011924"/>
                    </a:xfrm>
                    <a:prstGeom prst="rect">
                      <a:avLst/>
                    </a:prstGeom>
                  </pic:spPr>
                </pic:pic>
              </a:graphicData>
            </a:graphic>
            <wp14:sizeRelH relativeFrom="margin">
              <wp14:pctWidth>0</wp14:pctWidth>
            </wp14:sizeRelH>
            <wp14:sizeRelV relativeFrom="margin">
              <wp14:pctHeight>0</wp14:pctHeight>
            </wp14:sizeRelV>
          </wp:anchor>
        </w:drawing>
      </w:r>
      <w:r w:rsidR="00673FDF" w:rsidRPr="00840636">
        <w:rPr>
          <w:b/>
          <w:bCs/>
          <w:i/>
          <w:iCs/>
        </w:rPr>
        <w:t>Election mail</w:t>
      </w:r>
    </w:p>
    <w:p w14:paraId="145AE368" w14:textId="77777777" w:rsidR="00673FDF" w:rsidRPr="007C70D0" w:rsidRDefault="00673FDF" w:rsidP="007C70D0">
      <w:pPr>
        <w:pStyle w:val="PPtext"/>
      </w:pPr>
      <w:r w:rsidRPr="007C70D0">
        <w:t>Many postal observers recall the kerfuffle preceding the 2020 elections when the PMG was accused of trying to subvert voting by mail.  His 2020 directives to eliminate extra trips and get scheduled transportation running on time quickly led to complaints about mail delays and, in turn, suspicions that DeJoy’s political connections were behind what he was doing.</w:t>
      </w:r>
    </w:p>
    <w:p w14:paraId="04BBB803" w14:textId="77777777" w:rsidR="003038CE" w:rsidRPr="007C70D0" w:rsidRDefault="00673FDF" w:rsidP="007C70D0">
      <w:pPr>
        <w:pStyle w:val="PPtext"/>
      </w:pPr>
      <w:r w:rsidRPr="007C70D0">
        <w:t>As the 2024 election season approaches, the impact of “Local Transportation Optimization” is fueling renewed concerns about potential delays in balloting by mail.</w:t>
      </w:r>
    </w:p>
    <w:p w14:paraId="308EECBC" w14:textId="77777777" w:rsidR="003038CE" w:rsidRDefault="003038CE" w:rsidP="007C70D0">
      <w:pPr>
        <w:pStyle w:val="PPtext"/>
      </w:pPr>
      <w:r w:rsidRPr="007C70D0">
        <w:t>Though there’s a</w:t>
      </w:r>
      <w:r>
        <w:t xml:space="preserve"> canned response (above) to customers </w:t>
      </w:r>
      <w:r>
        <w:rPr>
          <w:i/>
          <w:iCs/>
        </w:rPr>
        <w:t>who ask</w:t>
      </w:r>
      <w:r>
        <w:t>, it’s unlikely that customers (e.g., voters) are being proactively informed of the potential for delays because of the Local Transportation Optimization program – meaning they’re unaware that their ballots might not be collected or processed in time to be counted.</w:t>
      </w:r>
    </w:p>
    <w:p w14:paraId="5415505B" w14:textId="77777777" w:rsidR="00852ED4" w:rsidRPr="00BD065D" w:rsidRDefault="00852ED4" w:rsidP="00BD065D">
      <w:pPr>
        <w:pStyle w:val="PPSub"/>
        <w:rPr>
          <w:color w:val="auto"/>
        </w:rPr>
      </w:pPr>
      <w:r w:rsidRPr="00BD065D">
        <w:rPr>
          <w:color w:val="auto"/>
        </w:rPr>
        <w:t>External review</w:t>
      </w:r>
    </w:p>
    <w:p w14:paraId="50B8A373" w14:textId="77777777" w:rsidR="00852ED4" w:rsidRPr="007C70D0" w:rsidRDefault="00852ED4" w:rsidP="007C70D0">
      <w:pPr>
        <w:pStyle w:val="PPtext"/>
      </w:pPr>
      <w:r w:rsidRPr="007C70D0">
        <w:t>Fortunately for DeJoy et al, the two authorities that could limit or derail the optimization plan aren’t up to the job.</w:t>
      </w:r>
    </w:p>
    <w:p w14:paraId="56635E4C" w14:textId="77777777" w:rsidR="00852ED4" w:rsidRPr="007C70D0" w:rsidRDefault="00852ED4" w:rsidP="007C70D0">
      <w:pPr>
        <w:pStyle w:val="PPtext"/>
      </w:pPr>
      <w:r w:rsidRPr="007C70D0">
        <w:lastRenderedPageBreak/>
        <w:t>Though politicians in impacted areas have raised dust over the Postal Service’s actions, whatever they’ve said in letters to the PMG, at public meetings, or in the media was designed for constituents’ consumption.  The likelihood is zero that anything substantive will be done through Congressional action – and DeJoy knows that.</w:t>
      </w:r>
    </w:p>
    <w:p w14:paraId="3D257C8D" w14:textId="77777777" w:rsidR="00852ED4" w:rsidRPr="007C70D0" w:rsidRDefault="00852ED4" w:rsidP="007C70D0">
      <w:pPr>
        <w:pStyle w:val="PPtext"/>
      </w:pPr>
      <w:r w:rsidRPr="007C70D0">
        <w:t>Similarly, though the Postal Regulatory Commission can drag information out of the USPS about its optimization efforts, it’s powerless to halt or deflect them.  Even if – as some argue it should – the commission were to conclude that the Local Transportation Optimization process constitutes a “nationwide change in service” that, in turn, requires the Postal Service to seek and advisory opinion from the PRC prior to its implementation, the commission’s findings would be advisory and would not inhibit the USPS in any way.  DeJoy’s Postal Service has been made to seek such opinions in the past and has implemented whatever it had planned anyway, totally ignoring the PRC’s advice.</w:t>
      </w:r>
    </w:p>
    <w:p w14:paraId="2997615C" w14:textId="638A9521" w:rsidR="00FB68B0" w:rsidRPr="007C70D0" w:rsidRDefault="00852ED4" w:rsidP="007C70D0">
      <w:pPr>
        <w:pStyle w:val="PPtext"/>
      </w:pPr>
      <w:r w:rsidRPr="007C70D0">
        <w:t>Though the 1970 Postal Reorganization Act expected the USPS to be supported by ratepayers, it did not set financial self-sufficiency above the fundamental provision of service</w:t>
      </w:r>
      <w:r w:rsidR="00613A54" w:rsidRPr="007C70D0">
        <w:t>; a</w:t>
      </w:r>
      <w:r w:rsidRPr="007C70D0">
        <w:t>ssuring full trucks or a self-serving emphasis on “efficiency” weren’t included.  The then-new agency was established to provide service, but that’s apparently not the perspective from which the PMG chooses to interpret the law.</w:t>
      </w:r>
    </w:p>
    <w:p w14:paraId="396CBD7B" w14:textId="3C944389" w:rsidR="00613A54" w:rsidRPr="00023847" w:rsidRDefault="003348F2" w:rsidP="00023847">
      <w:pPr>
        <w:pStyle w:val="PPSub"/>
      </w:pPr>
      <w:r w:rsidRPr="00023847">
        <w:t>USPS Ends Weekly Press Releases</w:t>
      </w:r>
    </w:p>
    <w:p w14:paraId="2AAF6FCF" w14:textId="77777777" w:rsidR="00E26DA9" w:rsidRPr="007C70D0" w:rsidRDefault="00E26DA9" w:rsidP="007C70D0">
      <w:pPr>
        <w:pStyle w:val="PPtext"/>
      </w:pPr>
      <w:r w:rsidRPr="007C70D0">
        <w:t>For obvious reasons, the Postal Service has stopped sending out weekly press releases about “sustained” or “stable delivery performance.”  The practice had begun in mid-2021 to publicize alleged service improvements that the agency regularly ascribed to the Postmaster General’s 10-Year Plan.</w:t>
      </w:r>
    </w:p>
    <w:p w14:paraId="3EAA2541" w14:textId="77777777" w:rsidR="001A0FFA" w:rsidRPr="007C70D0" w:rsidRDefault="00E26DA9" w:rsidP="007C70D0">
      <w:pPr>
        <w:pStyle w:val="PPtext"/>
      </w:pPr>
      <w:r w:rsidRPr="007C70D0">
        <w:t>The first release reporting all three classes (on June 10, 2021) cited service scores of 89.95, 90.67, and 80.70 for First-Class Mail, Marketing Mail, and Periodicals, respectively.  The scores reported in the final release, on February 5, 2024, after the 2021 reduction in service standards, were 82.70, 92.20, and 80.20, respectively.  The weekly scores had moved up and down over the period, but since mid-2023 had been dropping more often than climbing; the scores for First-Class Mail, Marketing Mail, and Periodicals fell by 9.8 points, 3.4 points, and 7.7 points, respectively, over the period.</w:t>
      </w:r>
    </w:p>
    <w:p w14:paraId="0D776D86" w14:textId="77777777" w:rsidR="001A0FFA" w:rsidRPr="007C70D0" w:rsidRDefault="001A0FFA" w:rsidP="007C70D0">
      <w:pPr>
        <w:pStyle w:val="PPtext"/>
      </w:pPr>
      <w:r w:rsidRPr="007C70D0">
        <w:t>The Postal Service’s official FY 2024 service performance targets for First-Class Mail are 95% for overnight and 2-day commitments, and 93% for 3-, 4-, and 5-day commitments, and 94.62% for Marketing Mail and 87.29% for Periodicals, so the agency’s PR spinmeisters apparently concluded that their purposes were not being served by weekly reminders of how badly the USPS was falling short of its goals.</w:t>
      </w:r>
    </w:p>
    <w:p w14:paraId="249E4399" w14:textId="39B160A2" w:rsidR="003348F2" w:rsidRPr="007C70D0" w:rsidRDefault="001A0FFA" w:rsidP="007C70D0">
      <w:pPr>
        <w:pStyle w:val="PPtext"/>
      </w:pPr>
      <w:r w:rsidRPr="007C70D0">
        <w:t>Customarily, the agency draws on its supply of excuses – a facility problem, weather, or other local disruption – that somehow causes nationwide service to falter.  The currently ongoing revisions to the USPS processing and distribution networks will likely serve that purpose for months.  Ratepayers and recipients may not be mollified by the excuses; all they know is that service is bad and getting worse.</w:t>
      </w:r>
    </w:p>
    <w:p w14:paraId="7B82EDF8" w14:textId="5C4BD140" w:rsidR="00581652" w:rsidRDefault="000E3014" w:rsidP="007C70D0">
      <w:pPr>
        <w:pStyle w:val="PPSub"/>
      </w:pPr>
      <w:r>
        <w:rPr>
          <w:noProof/>
        </w:rPr>
        <w:drawing>
          <wp:anchor distT="0" distB="0" distL="0" distR="45720" simplePos="0" relativeHeight="251666432" behindDoc="0" locked="0" layoutInCell="1" allowOverlap="1" wp14:anchorId="275A49EC" wp14:editId="44F10B7F">
            <wp:simplePos x="0" y="0"/>
            <wp:positionH relativeFrom="margin">
              <wp:align>left</wp:align>
            </wp:positionH>
            <wp:positionV relativeFrom="paragraph">
              <wp:posOffset>67736</wp:posOffset>
            </wp:positionV>
            <wp:extent cx="2743200" cy="1499616"/>
            <wp:effectExtent l="0" t="0" r="0" b="5715"/>
            <wp:wrapSquare wrapText="bothSides"/>
            <wp:docPr id="1613591793" name="Chart 2">
              <a:extLst xmlns:a="http://schemas.openxmlformats.org/drawingml/2006/main">
                <a:ext uri="{FF2B5EF4-FFF2-40B4-BE49-F238E27FC236}">
                  <a16:creationId xmlns:a16="http://schemas.microsoft.com/office/drawing/2014/main" id="{5C29B0D2-AC18-45F6-A506-7CC4071FFA4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margin">
              <wp14:pctWidth>0</wp14:pctWidth>
            </wp14:sizeRelH>
            <wp14:sizeRelV relativeFrom="margin">
              <wp14:pctHeight>0</wp14:pctHeight>
            </wp14:sizeRelV>
          </wp:anchor>
        </w:drawing>
      </w:r>
      <w:r w:rsidR="00581652" w:rsidRPr="00581652">
        <w:t>February CPI Defines Elements of Next Price Increase</w:t>
      </w:r>
    </w:p>
    <w:p w14:paraId="22553981" w14:textId="6E054C44" w:rsidR="007D1458" w:rsidRPr="007C70D0" w:rsidRDefault="007D1458" w:rsidP="007C70D0">
      <w:pPr>
        <w:pStyle w:val="PPtext"/>
      </w:pPr>
      <w:r w:rsidRPr="007C70D0">
        <w:t>Following release of the February CPI on March 12, the Postal Service’s annualized CPI-based pricing authority was 3.613%.  However, because Postmaster General Louis DeJoy has been seeking semi-annual rate hikes, the effective CPI-based authority after six months was only 1.622%.  The USPS had earlier projected a figure of about 2%.</w:t>
      </w:r>
    </w:p>
    <w:p w14:paraId="3A8BC8F4" w14:textId="2BF38912" w:rsidR="007D1458" w:rsidRDefault="007D1458" w:rsidP="007C70D0">
      <w:pPr>
        <w:pStyle w:val="PPtext"/>
      </w:pPr>
      <w:r w:rsidRPr="007C70D0">
        <w:t>Tho</w:t>
      </w:r>
      <w:r w:rsidRPr="00C50590">
        <w:t>ugh the Postal Service’s</w:t>
      </w:r>
      <w:r w:rsidRPr="00283A1C">
        <w:rPr>
          <w:i/>
          <w:iCs/>
        </w:rPr>
        <w:t xml:space="preserve"> annualized</w:t>
      </w:r>
      <w:r w:rsidRPr="00C50590">
        <w:t xml:space="preserve"> CPI-based rate authority </w:t>
      </w:r>
      <w:r>
        <w:t>fell</w:t>
      </w:r>
      <w:r w:rsidRPr="00C50590">
        <w:t xml:space="preserve"> again – for the f</w:t>
      </w:r>
      <w:r>
        <w:t>if</w:t>
      </w:r>
      <w:r w:rsidRPr="00C50590">
        <w:t xml:space="preserve">teenth </w:t>
      </w:r>
      <w:r>
        <w:t>straight</w:t>
      </w:r>
      <w:r w:rsidRPr="00C50590">
        <w:t xml:space="preserve"> month </w:t>
      </w:r>
      <w:r>
        <w:t>– the month-over-month change has improved upward since June.</w:t>
      </w:r>
    </w:p>
    <w:p w14:paraId="642089F7" w14:textId="38DE3FB2" w:rsidR="00C97556" w:rsidRPr="007C70D0" w:rsidRDefault="00E87321" w:rsidP="007C70D0">
      <w:pPr>
        <w:pStyle w:val="PPtext"/>
      </w:pPr>
      <w:r w:rsidRPr="007C70D0">
        <w:rPr>
          <w:noProof/>
        </w:rPr>
        <w:drawing>
          <wp:anchor distT="0" distB="0" distL="0" distR="45720" simplePos="0" relativeHeight="251667456" behindDoc="0" locked="0" layoutInCell="1" allowOverlap="1" wp14:anchorId="33E08E3C" wp14:editId="58BAE4F7">
            <wp:simplePos x="0" y="0"/>
            <wp:positionH relativeFrom="margin">
              <wp:posOffset>0</wp:posOffset>
            </wp:positionH>
            <wp:positionV relativeFrom="paragraph">
              <wp:posOffset>35131</wp:posOffset>
            </wp:positionV>
            <wp:extent cx="2743200" cy="1663700"/>
            <wp:effectExtent l="0" t="0" r="0" b="12700"/>
            <wp:wrapSquare wrapText="bothSides"/>
            <wp:docPr id="1022456959" name="Chart 1">
              <a:extLst xmlns:a="http://schemas.openxmlformats.org/drawingml/2006/main">
                <a:ext uri="{FF2B5EF4-FFF2-40B4-BE49-F238E27FC236}">
                  <a16:creationId xmlns:a16="http://schemas.microsoft.com/office/drawing/2014/main" id="{DA8E15C9-3A53-40C0-9508-AA842FE62242}"/>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r w:rsidR="007D1458" w:rsidRPr="00C50590">
        <w:t>Though</w:t>
      </w:r>
      <w:r w:rsidR="007D1458" w:rsidRPr="007C70D0">
        <w:t xml:space="preserve"> individual months’ changes are mitigated by the period of the calculations, it’s notable that the month-over-month change in the CPI was 1.909% in February, the biggest jump since January 2023.  As growth in the CPI itself continues (as it has since November) it will be reflected in the twelve-month rolling average that defines USPS annualized rate authority.  This will be evident when another price change is sought in October (to be implemented in January).</w:t>
      </w:r>
    </w:p>
    <w:p w14:paraId="4F59C243" w14:textId="0438BAD4" w:rsidR="00C97556" w:rsidRDefault="00C97556" w:rsidP="007C70D0">
      <w:pPr>
        <w:pStyle w:val="PPtext"/>
      </w:pPr>
      <w:r w:rsidRPr="007C70D0">
        <w:t xml:space="preserve">For a semi-annual increase, a different formula is used but still based on the monthly CPI data.  Regardless, the Postal Service’s actual CPI-based authority is the same (except for </w:t>
      </w:r>
      <w:r>
        <w:t>minor rounding differences) over a year as over two six-</w:t>
      </w:r>
      <w:r>
        <w:lastRenderedPageBreak/>
        <w:t>month periods.  The benefits of the semi-annual pace (for the USPS) are that the prices on which percentage increases are based are marginally higher and that the resulting increased revenue can be captured sooner rather than later.</w:t>
      </w:r>
    </w:p>
    <w:p w14:paraId="2B81F342" w14:textId="77777777" w:rsidR="00C97556" w:rsidRPr="007C70D0" w:rsidRDefault="00C97556" w:rsidP="007C70D0">
      <w:pPr>
        <w:pStyle w:val="PPtext"/>
      </w:pPr>
      <w:r>
        <w:t xml:space="preserve">Despite the mild impact of the CPI, </w:t>
      </w:r>
      <w:proofErr w:type="gramStart"/>
      <w:r>
        <w:t>the majority of</w:t>
      </w:r>
      <w:proofErr w:type="gramEnd"/>
      <w:r>
        <w:t xml:space="preserve"> the next price in</w:t>
      </w:r>
      <w:r w:rsidRPr="007C70D0">
        <w:t xml:space="preserve">crease will be the result of the “adders,” the additional sources of rate authority established by the Postal Regulatory Commission is November 2020.  Of the three, “density,” “retirement,” and “non-compensatory,” the most hurtful will be “density,” calculated by the Postal Service to be 4.312% – over two and a half times what the CPI will provide.  </w:t>
      </w:r>
      <w:proofErr w:type="gramStart"/>
      <w:r w:rsidRPr="007C70D0">
        <w:t>The ”retirement</w:t>
      </w:r>
      <w:proofErr w:type="gramEnd"/>
      <w:r w:rsidRPr="007C70D0">
        <w:t>” adder was calculated to be 1.82%.  Only classes not currently covering their costs (e.g., Periodicals) are subject to the fixed 2% “non-compensatory” adder.</w:t>
      </w:r>
    </w:p>
    <w:p w14:paraId="58EF3B98" w14:textId="25CBC1F8" w:rsidR="00C97556" w:rsidRPr="00D8711C" w:rsidRDefault="00C97556" w:rsidP="007C70D0">
      <w:pPr>
        <w:pStyle w:val="PPtext"/>
      </w:pPr>
      <w:r w:rsidRPr="007C70D0">
        <w:t xml:space="preserve">The actual size of the “density” and “retirement” adders will be confirmed by the PRC in its Annual Compliance Determination, due by the end of March, but the Postal Service’s figures should hold, barring any </w:t>
      </w:r>
      <w:proofErr w:type="gramStart"/>
      <w:r w:rsidRPr="007C70D0">
        <w:t>as yet</w:t>
      </w:r>
      <w:proofErr w:type="gramEnd"/>
      <w:r w:rsidRPr="007C70D0">
        <w:t xml:space="preserve"> undiscovered errors.</w:t>
      </w:r>
      <w:r w:rsidR="00083908">
        <w:t xml:space="preserve">  </w:t>
      </w:r>
      <w:r w:rsidRPr="007C70D0">
        <w:t xml:space="preserve">The Postal Service also has a “bank” of leftover rate authority that was unused in </w:t>
      </w:r>
      <w:r>
        <w:t>previous filings.  At present, that’s virtually nil: 0.001% for all classes except Periodicals (0.000%).</w:t>
      </w:r>
    </w:p>
    <w:tbl>
      <w:tblPr>
        <w:tblStyle w:val="TableGrid"/>
        <w:tblpPr w:rightFromText="72" w:vertAnchor="text" w:horzAnchor="margin" w:tblpY="102"/>
        <w:tblOverlap w:val="never"/>
        <w:tblW w:w="0" w:type="auto"/>
        <w:tblBorders>
          <w:top w:val="single" w:sz="8" w:space="0" w:color="165788" w:themeColor="text1"/>
          <w:left w:val="single" w:sz="8" w:space="0" w:color="165788" w:themeColor="text1"/>
          <w:bottom w:val="single" w:sz="8" w:space="0" w:color="165788" w:themeColor="text1"/>
          <w:right w:val="single" w:sz="8" w:space="0" w:color="165788" w:themeColor="text1"/>
          <w:insideH w:val="none" w:sz="0" w:space="0" w:color="auto"/>
          <w:insideV w:val="none" w:sz="0" w:space="0" w:color="auto"/>
        </w:tblBorders>
        <w:tblLayout w:type="fixed"/>
        <w:tblCellMar>
          <w:left w:w="14" w:type="dxa"/>
          <w:right w:w="14" w:type="dxa"/>
        </w:tblCellMar>
        <w:tblLook w:val="04A0" w:firstRow="1" w:lastRow="0" w:firstColumn="1" w:lastColumn="0" w:noHBand="0" w:noVBand="1"/>
      </w:tblPr>
      <w:tblGrid>
        <w:gridCol w:w="936"/>
        <w:gridCol w:w="648"/>
        <w:gridCol w:w="648"/>
        <w:gridCol w:w="648"/>
        <w:gridCol w:w="648"/>
        <w:gridCol w:w="710"/>
        <w:gridCol w:w="648"/>
      </w:tblGrid>
      <w:tr w:rsidR="00D8711C" w:rsidRPr="00266672" w14:paraId="5A0E5056" w14:textId="77777777" w:rsidTr="00D8711C">
        <w:tc>
          <w:tcPr>
            <w:tcW w:w="936" w:type="dxa"/>
            <w:tcBorders>
              <w:top w:val="single" w:sz="8" w:space="0" w:color="165788" w:themeColor="text1"/>
              <w:bottom w:val="single" w:sz="4" w:space="0" w:color="165788" w:themeColor="text1"/>
              <w:right w:val="single" w:sz="4" w:space="0" w:color="165788" w:themeColor="text1"/>
            </w:tcBorders>
            <w:shd w:val="clear" w:color="auto" w:fill="C2DFF5" w:themeFill="text1" w:themeFillTint="33"/>
            <w:vAlign w:val="center"/>
          </w:tcPr>
          <w:p w14:paraId="55270373" w14:textId="77777777" w:rsidR="00D8711C" w:rsidRPr="006B1D69" w:rsidRDefault="00D8711C" w:rsidP="00D8711C">
            <w:pPr>
              <w:pStyle w:val="PPtext"/>
              <w:spacing w:before="0" w:line="180" w:lineRule="exact"/>
              <w:jc w:val="center"/>
              <w:rPr>
                <w:b/>
                <w:bCs/>
                <w:sz w:val="16"/>
                <w:szCs w:val="16"/>
              </w:rPr>
            </w:pPr>
            <w:r w:rsidRPr="006B1D69">
              <w:rPr>
                <w:b/>
                <w:bCs/>
                <w:sz w:val="16"/>
                <w:szCs w:val="16"/>
              </w:rPr>
              <w:t>Class</w:t>
            </w:r>
          </w:p>
        </w:tc>
        <w:tc>
          <w:tcPr>
            <w:tcW w:w="648" w:type="dxa"/>
            <w:tcBorders>
              <w:top w:val="single" w:sz="8" w:space="0" w:color="165788" w:themeColor="text1"/>
              <w:left w:val="single" w:sz="4" w:space="0" w:color="165788" w:themeColor="text1"/>
              <w:bottom w:val="single" w:sz="4" w:space="0" w:color="165788" w:themeColor="text1"/>
              <w:right w:val="single" w:sz="4" w:space="0" w:color="165788" w:themeColor="text1"/>
            </w:tcBorders>
            <w:shd w:val="clear" w:color="auto" w:fill="C2DFF5" w:themeFill="text1" w:themeFillTint="33"/>
            <w:vAlign w:val="center"/>
          </w:tcPr>
          <w:p w14:paraId="54BC4258" w14:textId="77777777" w:rsidR="00D8711C" w:rsidRPr="00CA09C3" w:rsidRDefault="00D8711C" w:rsidP="00D8711C">
            <w:pPr>
              <w:pStyle w:val="PPtext"/>
              <w:spacing w:before="0" w:line="180" w:lineRule="exact"/>
              <w:jc w:val="center"/>
              <w:rPr>
                <w:b/>
                <w:bCs/>
                <w:sz w:val="16"/>
                <w:szCs w:val="16"/>
              </w:rPr>
            </w:pPr>
            <w:r w:rsidRPr="006B1D69">
              <w:rPr>
                <w:b/>
                <w:bCs/>
                <w:sz w:val="16"/>
                <w:szCs w:val="16"/>
              </w:rPr>
              <w:t>CPI</w:t>
            </w:r>
          </w:p>
        </w:tc>
        <w:tc>
          <w:tcPr>
            <w:tcW w:w="648" w:type="dxa"/>
            <w:tcBorders>
              <w:top w:val="single" w:sz="8" w:space="0" w:color="165788" w:themeColor="text1"/>
              <w:left w:val="single" w:sz="4" w:space="0" w:color="165788" w:themeColor="text1"/>
              <w:bottom w:val="single" w:sz="4" w:space="0" w:color="165788" w:themeColor="text1"/>
              <w:right w:val="single" w:sz="4" w:space="0" w:color="165788" w:themeColor="text1"/>
            </w:tcBorders>
            <w:shd w:val="clear" w:color="auto" w:fill="C2DFF5" w:themeFill="text1" w:themeFillTint="33"/>
            <w:vAlign w:val="center"/>
          </w:tcPr>
          <w:p w14:paraId="554A1591" w14:textId="77777777" w:rsidR="00D8711C" w:rsidRPr="006B1D69" w:rsidRDefault="00D8711C" w:rsidP="00D8711C">
            <w:pPr>
              <w:pStyle w:val="PPtext"/>
              <w:spacing w:before="0" w:line="180" w:lineRule="exact"/>
              <w:jc w:val="center"/>
              <w:rPr>
                <w:b/>
                <w:bCs/>
                <w:sz w:val="16"/>
                <w:szCs w:val="16"/>
              </w:rPr>
            </w:pPr>
            <w:r w:rsidRPr="006B1D69">
              <w:rPr>
                <w:b/>
                <w:bCs/>
                <w:sz w:val="16"/>
                <w:szCs w:val="16"/>
              </w:rPr>
              <w:t>Bank</w:t>
            </w:r>
          </w:p>
        </w:tc>
        <w:tc>
          <w:tcPr>
            <w:tcW w:w="648" w:type="dxa"/>
            <w:tcBorders>
              <w:top w:val="single" w:sz="8" w:space="0" w:color="165788" w:themeColor="text1"/>
              <w:left w:val="single" w:sz="4" w:space="0" w:color="165788" w:themeColor="text1"/>
              <w:bottom w:val="single" w:sz="4" w:space="0" w:color="165788" w:themeColor="text1"/>
              <w:right w:val="single" w:sz="4" w:space="0" w:color="165788" w:themeColor="text1"/>
            </w:tcBorders>
            <w:shd w:val="clear" w:color="auto" w:fill="C2DFF5" w:themeFill="text1" w:themeFillTint="33"/>
            <w:vAlign w:val="center"/>
          </w:tcPr>
          <w:p w14:paraId="162A2F39" w14:textId="77777777" w:rsidR="00D8711C" w:rsidRPr="006B1D69" w:rsidRDefault="00D8711C" w:rsidP="00D8711C">
            <w:pPr>
              <w:pStyle w:val="PPtext"/>
              <w:spacing w:before="0" w:line="180" w:lineRule="exact"/>
              <w:jc w:val="center"/>
              <w:rPr>
                <w:b/>
                <w:bCs/>
                <w:sz w:val="16"/>
                <w:szCs w:val="16"/>
              </w:rPr>
            </w:pPr>
            <w:r w:rsidRPr="006B1D69">
              <w:rPr>
                <w:b/>
                <w:bCs/>
                <w:sz w:val="16"/>
                <w:szCs w:val="16"/>
              </w:rPr>
              <w:t>Density</w:t>
            </w:r>
          </w:p>
        </w:tc>
        <w:tc>
          <w:tcPr>
            <w:tcW w:w="648" w:type="dxa"/>
            <w:tcBorders>
              <w:top w:val="single" w:sz="8" w:space="0" w:color="165788" w:themeColor="text1"/>
              <w:left w:val="single" w:sz="4" w:space="0" w:color="165788" w:themeColor="text1"/>
              <w:bottom w:val="single" w:sz="4" w:space="0" w:color="165788" w:themeColor="text1"/>
              <w:right w:val="single" w:sz="4" w:space="0" w:color="165788" w:themeColor="text1"/>
            </w:tcBorders>
            <w:shd w:val="clear" w:color="auto" w:fill="C2DFF5" w:themeFill="text1" w:themeFillTint="33"/>
            <w:vAlign w:val="center"/>
          </w:tcPr>
          <w:p w14:paraId="6B62657C" w14:textId="77777777" w:rsidR="00D8711C" w:rsidRPr="006B1D69" w:rsidRDefault="00D8711C" w:rsidP="00D8711C">
            <w:pPr>
              <w:pStyle w:val="PPtext"/>
              <w:spacing w:before="0" w:line="180" w:lineRule="exact"/>
              <w:jc w:val="center"/>
              <w:rPr>
                <w:b/>
                <w:bCs/>
                <w:sz w:val="16"/>
                <w:szCs w:val="16"/>
              </w:rPr>
            </w:pPr>
            <w:r w:rsidRPr="006B1D69">
              <w:rPr>
                <w:b/>
                <w:bCs/>
                <w:sz w:val="16"/>
                <w:szCs w:val="16"/>
              </w:rPr>
              <w:t>Retirement</w:t>
            </w:r>
          </w:p>
        </w:tc>
        <w:tc>
          <w:tcPr>
            <w:tcW w:w="710" w:type="dxa"/>
            <w:tcBorders>
              <w:top w:val="single" w:sz="8" w:space="0" w:color="165788" w:themeColor="text1"/>
              <w:left w:val="single" w:sz="4" w:space="0" w:color="165788" w:themeColor="text1"/>
              <w:bottom w:val="single" w:sz="4" w:space="0" w:color="165788" w:themeColor="text1"/>
              <w:right w:val="single" w:sz="4" w:space="0" w:color="165788" w:themeColor="text1"/>
            </w:tcBorders>
            <w:shd w:val="clear" w:color="auto" w:fill="C2DFF5" w:themeFill="text1" w:themeFillTint="33"/>
            <w:vAlign w:val="center"/>
          </w:tcPr>
          <w:p w14:paraId="38DC46B3" w14:textId="77777777" w:rsidR="00D8711C" w:rsidRPr="006B1D69" w:rsidRDefault="00D8711C" w:rsidP="00D8711C">
            <w:pPr>
              <w:pStyle w:val="PPtext"/>
              <w:spacing w:before="0" w:line="180" w:lineRule="exact"/>
              <w:jc w:val="center"/>
              <w:rPr>
                <w:b/>
                <w:bCs/>
                <w:sz w:val="16"/>
                <w:szCs w:val="16"/>
              </w:rPr>
            </w:pPr>
            <w:proofErr w:type="spellStart"/>
            <w:r w:rsidRPr="006B1D69">
              <w:rPr>
                <w:b/>
                <w:bCs/>
                <w:sz w:val="16"/>
                <w:szCs w:val="16"/>
              </w:rPr>
              <w:t>Noncompensatory</w:t>
            </w:r>
            <w:proofErr w:type="spellEnd"/>
          </w:p>
        </w:tc>
        <w:tc>
          <w:tcPr>
            <w:tcW w:w="648" w:type="dxa"/>
            <w:tcBorders>
              <w:top w:val="single" w:sz="8" w:space="0" w:color="165788" w:themeColor="text1"/>
              <w:left w:val="single" w:sz="4" w:space="0" w:color="165788" w:themeColor="text1"/>
              <w:bottom w:val="single" w:sz="4" w:space="0" w:color="165788" w:themeColor="text1"/>
            </w:tcBorders>
            <w:shd w:val="clear" w:color="auto" w:fill="C2DFF5" w:themeFill="text1" w:themeFillTint="33"/>
            <w:vAlign w:val="center"/>
          </w:tcPr>
          <w:p w14:paraId="75911638" w14:textId="77777777" w:rsidR="00D8711C" w:rsidRPr="006B1D69" w:rsidRDefault="00D8711C" w:rsidP="00D8711C">
            <w:pPr>
              <w:pStyle w:val="PPtext"/>
              <w:spacing w:before="0" w:line="180" w:lineRule="exact"/>
              <w:jc w:val="center"/>
              <w:rPr>
                <w:b/>
                <w:bCs/>
                <w:sz w:val="16"/>
                <w:szCs w:val="16"/>
              </w:rPr>
            </w:pPr>
            <w:r w:rsidRPr="006B1D69">
              <w:rPr>
                <w:b/>
                <w:bCs/>
                <w:sz w:val="16"/>
                <w:szCs w:val="16"/>
              </w:rPr>
              <w:t>Total</w:t>
            </w:r>
            <w:r>
              <w:rPr>
                <w:b/>
                <w:bCs/>
                <w:sz w:val="16"/>
                <w:szCs w:val="16"/>
              </w:rPr>
              <w:br/>
              <w:t>Auth</w:t>
            </w:r>
          </w:p>
        </w:tc>
      </w:tr>
      <w:tr w:rsidR="00D8711C" w:rsidRPr="00266672" w14:paraId="6225A38F" w14:textId="77777777" w:rsidTr="00D8711C">
        <w:tc>
          <w:tcPr>
            <w:tcW w:w="936" w:type="dxa"/>
            <w:tcBorders>
              <w:top w:val="single" w:sz="4" w:space="0" w:color="165788" w:themeColor="text1"/>
              <w:bottom w:val="nil"/>
              <w:right w:val="single" w:sz="4" w:space="0" w:color="165788" w:themeColor="text1"/>
            </w:tcBorders>
          </w:tcPr>
          <w:p w14:paraId="722CE5F4" w14:textId="77777777" w:rsidR="00D8711C" w:rsidRPr="006B1D69" w:rsidRDefault="00D8711C" w:rsidP="00D8711C">
            <w:pPr>
              <w:pStyle w:val="PPtext"/>
              <w:spacing w:before="0" w:line="180" w:lineRule="exact"/>
              <w:rPr>
                <w:sz w:val="16"/>
                <w:szCs w:val="16"/>
              </w:rPr>
            </w:pPr>
            <w:r w:rsidRPr="006B1D69">
              <w:rPr>
                <w:sz w:val="16"/>
                <w:szCs w:val="16"/>
              </w:rPr>
              <w:t>First-Class</w:t>
            </w:r>
          </w:p>
        </w:tc>
        <w:tc>
          <w:tcPr>
            <w:tcW w:w="648" w:type="dxa"/>
            <w:tcBorders>
              <w:top w:val="single" w:sz="4" w:space="0" w:color="165788" w:themeColor="text1"/>
              <w:left w:val="single" w:sz="4" w:space="0" w:color="165788" w:themeColor="text1"/>
              <w:bottom w:val="nil"/>
              <w:right w:val="single" w:sz="4" w:space="0" w:color="165788" w:themeColor="text1"/>
            </w:tcBorders>
            <w:vAlign w:val="center"/>
          </w:tcPr>
          <w:p w14:paraId="3F7EC55D" w14:textId="77777777" w:rsidR="00D8711C" w:rsidRPr="00CA09C3" w:rsidRDefault="00D8711C" w:rsidP="00D8711C">
            <w:pPr>
              <w:pStyle w:val="PPtext"/>
              <w:spacing w:before="0" w:line="180" w:lineRule="exact"/>
              <w:jc w:val="center"/>
              <w:rPr>
                <w:sz w:val="16"/>
                <w:szCs w:val="16"/>
              </w:rPr>
            </w:pPr>
            <w:r w:rsidRPr="00CA09C3">
              <w:rPr>
                <w:sz w:val="16"/>
                <w:szCs w:val="16"/>
              </w:rPr>
              <w:t>1.622%</w:t>
            </w:r>
          </w:p>
        </w:tc>
        <w:tc>
          <w:tcPr>
            <w:tcW w:w="648" w:type="dxa"/>
            <w:tcBorders>
              <w:top w:val="single" w:sz="4" w:space="0" w:color="165788" w:themeColor="text1"/>
              <w:left w:val="single" w:sz="4" w:space="0" w:color="165788" w:themeColor="text1"/>
              <w:bottom w:val="nil"/>
              <w:right w:val="single" w:sz="4" w:space="0" w:color="165788" w:themeColor="text1"/>
            </w:tcBorders>
          </w:tcPr>
          <w:p w14:paraId="7D666735" w14:textId="77777777" w:rsidR="00D8711C" w:rsidRPr="006B1D69" w:rsidRDefault="00D8711C" w:rsidP="00D8711C">
            <w:pPr>
              <w:pStyle w:val="PPtext"/>
              <w:spacing w:before="0" w:line="180" w:lineRule="exact"/>
              <w:jc w:val="center"/>
              <w:rPr>
                <w:sz w:val="16"/>
                <w:szCs w:val="16"/>
              </w:rPr>
            </w:pPr>
            <w:r w:rsidRPr="00031FFA">
              <w:rPr>
                <w:sz w:val="16"/>
                <w:szCs w:val="16"/>
              </w:rPr>
              <w:t>0.001</w:t>
            </w:r>
            <w:r>
              <w:rPr>
                <w:sz w:val="16"/>
                <w:szCs w:val="16"/>
              </w:rPr>
              <w:t>%</w:t>
            </w:r>
          </w:p>
        </w:tc>
        <w:tc>
          <w:tcPr>
            <w:tcW w:w="648" w:type="dxa"/>
            <w:tcBorders>
              <w:top w:val="single" w:sz="4" w:space="0" w:color="165788" w:themeColor="text1"/>
              <w:left w:val="single" w:sz="4" w:space="0" w:color="165788" w:themeColor="text1"/>
              <w:bottom w:val="nil"/>
              <w:right w:val="single" w:sz="4" w:space="0" w:color="165788" w:themeColor="text1"/>
            </w:tcBorders>
            <w:vAlign w:val="center"/>
          </w:tcPr>
          <w:p w14:paraId="5C926812" w14:textId="77777777" w:rsidR="00D8711C" w:rsidRPr="006B1D69" w:rsidRDefault="00D8711C" w:rsidP="00D8711C">
            <w:pPr>
              <w:pStyle w:val="PPtext"/>
              <w:spacing w:before="0" w:line="180" w:lineRule="exact"/>
              <w:jc w:val="center"/>
              <w:rPr>
                <w:sz w:val="16"/>
                <w:szCs w:val="16"/>
              </w:rPr>
            </w:pPr>
            <w:r>
              <w:rPr>
                <w:sz w:val="16"/>
                <w:szCs w:val="16"/>
              </w:rPr>
              <w:t>4.312</w:t>
            </w:r>
            <w:r w:rsidRPr="006B1D69">
              <w:rPr>
                <w:sz w:val="16"/>
                <w:szCs w:val="16"/>
              </w:rPr>
              <w:t>%</w:t>
            </w:r>
          </w:p>
        </w:tc>
        <w:tc>
          <w:tcPr>
            <w:tcW w:w="648" w:type="dxa"/>
            <w:tcBorders>
              <w:top w:val="single" w:sz="4" w:space="0" w:color="165788" w:themeColor="text1"/>
              <w:left w:val="single" w:sz="4" w:space="0" w:color="165788" w:themeColor="text1"/>
              <w:bottom w:val="nil"/>
              <w:right w:val="single" w:sz="4" w:space="0" w:color="165788" w:themeColor="text1"/>
            </w:tcBorders>
            <w:vAlign w:val="center"/>
          </w:tcPr>
          <w:p w14:paraId="77AF5247" w14:textId="77777777" w:rsidR="00D8711C" w:rsidRPr="006B1D69" w:rsidRDefault="00D8711C" w:rsidP="00D8711C">
            <w:pPr>
              <w:pStyle w:val="PPtext"/>
              <w:spacing w:before="0" w:line="180" w:lineRule="exact"/>
              <w:jc w:val="center"/>
              <w:rPr>
                <w:sz w:val="16"/>
                <w:szCs w:val="16"/>
              </w:rPr>
            </w:pPr>
            <w:r>
              <w:rPr>
                <w:sz w:val="16"/>
                <w:szCs w:val="16"/>
              </w:rPr>
              <w:t>1.820</w:t>
            </w:r>
            <w:r w:rsidRPr="006B1D69">
              <w:rPr>
                <w:sz w:val="16"/>
                <w:szCs w:val="16"/>
              </w:rPr>
              <w:t>%</w:t>
            </w:r>
          </w:p>
        </w:tc>
        <w:tc>
          <w:tcPr>
            <w:tcW w:w="710" w:type="dxa"/>
            <w:tcBorders>
              <w:top w:val="single" w:sz="4" w:space="0" w:color="165788" w:themeColor="text1"/>
              <w:left w:val="single" w:sz="4" w:space="0" w:color="165788" w:themeColor="text1"/>
              <w:bottom w:val="nil"/>
              <w:right w:val="single" w:sz="4" w:space="0" w:color="165788" w:themeColor="text1"/>
            </w:tcBorders>
            <w:vAlign w:val="center"/>
          </w:tcPr>
          <w:p w14:paraId="1BF46289" w14:textId="77777777" w:rsidR="00D8711C" w:rsidRPr="006B1D69" w:rsidRDefault="00D8711C" w:rsidP="00D8711C">
            <w:pPr>
              <w:pStyle w:val="PPtext"/>
              <w:spacing w:before="0" w:line="180" w:lineRule="exact"/>
              <w:jc w:val="center"/>
              <w:rPr>
                <w:sz w:val="16"/>
                <w:szCs w:val="16"/>
              </w:rPr>
            </w:pPr>
            <w:r>
              <w:rPr>
                <w:sz w:val="16"/>
                <w:szCs w:val="16"/>
              </w:rPr>
              <w:t>n/a</w:t>
            </w:r>
          </w:p>
        </w:tc>
        <w:tc>
          <w:tcPr>
            <w:tcW w:w="648" w:type="dxa"/>
            <w:tcBorders>
              <w:top w:val="single" w:sz="4" w:space="0" w:color="165788" w:themeColor="text1"/>
              <w:left w:val="single" w:sz="4" w:space="0" w:color="165788" w:themeColor="text1"/>
              <w:bottom w:val="nil"/>
            </w:tcBorders>
            <w:vAlign w:val="center"/>
          </w:tcPr>
          <w:p w14:paraId="0974D540" w14:textId="77777777" w:rsidR="00D8711C" w:rsidRPr="00922E40" w:rsidRDefault="00D8711C" w:rsidP="00D8711C">
            <w:pPr>
              <w:pStyle w:val="PPtext"/>
              <w:spacing w:before="0" w:line="180" w:lineRule="exact"/>
              <w:jc w:val="center"/>
              <w:rPr>
                <w:sz w:val="16"/>
                <w:szCs w:val="16"/>
              </w:rPr>
            </w:pPr>
            <w:r w:rsidRPr="00922E40">
              <w:rPr>
                <w:sz w:val="16"/>
                <w:szCs w:val="16"/>
              </w:rPr>
              <w:t>7.755%</w:t>
            </w:r>
          </w:p>
        </w:tc>
      </w:tr>
      <w:tr w:rsidR="00D8711C" w:rsidRPr="00266672" w14:paraId="457D2FF5" w14:textId="77777777" w:rsidTr="00D8711C">
        <w:tc>
          <w:tcPr>
            <w:tcW w:w="936" w:type="dxa"/>
            <w:tcBorders>
              <w:top w:val="nil"/>
              <w:bottom w:val="nil"/>
              <w:right w:val="single" w:sz="4" w:space="0" w:color="165788" w:themeColor="text1"/>
            </w:tcBorders>
            <w:shd w:val="clear" w:color="auto" w:fill="D9D9D9" w:themeFill="background1" w:themeFillShade="D9"/>
          </w:tcPr>
          <w:p w14:paraId="59007E56" w14:textId="77777777" w:rsidR="00D8711C" w:rsidRPr="006B1D69" w:rsidRDefault="00D8711C" w:rsidP="00D8711C">
            <w:pPr>
              <w:pStyle w:val="PPtext"/>
              <w:spacing w:before="0" w:line="180" w:lineRule="exact"/>
              <w:rPr>
                <w:sz w:val="16"/>
                <w:szCs w:val="16"/>
              </w:rPr>
            </w:pPr>
            <w:r w:rsidRPr="006B1D69">
              <w:rPr>
                <w:sz w:val="16"/>
                <w:szCs w:val="16"/>
              </w:rPr>
              <w:t>Marketing</w:t>
            </w:r>
          </w:p>
        </w:tc>
        <w:tc>
          <w:tcPr>
            <w:tcW w:w="648" w:type="dxa"/>
            <w:tcBorders>
              <w:top w:val="nil"/>
              <w:left w:val="single" w:sz="4" w:space="0" w:color="165788" w:themeColor="text1"/>
              <w:bottom w:val="nil"/>
              <w:right w:val="single" w:sz="4" w:space="0" w:color="165788" w:themeColor="text1"/>
            </w:tcBorders>
            <w:shd w:val="clear" w:color="auto" w:fill="D9D9D9" w:themeFill="background1" w:themeFillShade="D9"/>
            <w:vAlign w:val="center"/>
          </w:tcPr>
          <w:p w14:paraId="02FB9DD6" w14:textId="77777777" w:rsidR="00D8711C" w:rsidRPr="00CA09C3" w:rsidRDefault="00D8711C" w:rsidP="00D8711C">
            <w:pPr>
              <w:pStyle w:val="PPtext"/>
              <w:spacing w:before="0" w:line="180" w:lineRule="exact"/>
              <w:jc w:val="center"/>
              <w:rPr>
                <w:sz w:val="16"/>
                <w:szCs w:val="16"/>
              </w:rPr>
            </w:pPr>
            <w:r w:rsidRPr="00CA09C3">
              <w:rPr>
                <w:sz w:val="16"/>
                <w:szCs w:val="16"/>
              </w:rPr>
              <w:t>1.622%</w:t>
            </w:r>
          </w:p>
        </w:tc>
        <w:tc>
          <w:tcPr>
            <w:tcW w:w="648" w:type="dxa"/>
            <w:tcBorders>
              <w:top w:val="nil"/>
              <w:left w:val="single" w:sz="4" w:space="0" w:color="165788" w:themeColor="text1"/>
              <w:bottom w:val="nil"/>
              <w:right w:val="single" w:sz="4" w:space="0" w:color="165788" w:themeColor="text1"/>
            </w:tcBorders>
            <w:shd w:val="clear" w:color="auto" w:fill="D9D9D9" w:themeFill="background1" w:themeFillShade="D9"/>
          </w:tcPr>
          <w:p w14:paraId="09E2C023" w14:textId="77777777" w:rsidR="00D8711C" w:rsidRPr="006B1D69" w:rsidRDefault="00D8711C" w:rsidP="00D8711C">
            <w:pPr>
              <w:pStyle w:val="PPtext"/>
              <w:spacing w:before="0" w:line="180" w:lineRule="exact"/>
              <w:jc w:val="center"/>
              <w:rPr>
                <w:sz w:val="16"/>
                <w:szCs w:val="16"/>
              </w:rPr>
            </w:pPr>
            <w:r w:rsidRPr="00031FFA">
              <w:rPr>
                <w:sz w:val="16"/>
                <w:szCs w:val="16"/>
              </w:rPr>
              <w:t>0.00</w:t>
            </w:r>
            <w:r>
              <w:rPr>
                <w:sz w:val="16"/>
                <w:szCs w:val="16"/>
              </w:rPr>
              <w:t>1%</w:t>
            </w:r>
          </w:p>
        </w:tc>
        <w:tc>
          <w:tcPr>
            <w:tcW w:w="648" w:type="dxa"/>
            <w:tcBorders>
              <w:top w:val="nil"/>
              <w:left w:val="single" w:sz="4" w:space="0" w:color="165788" w:themeColor="text1"/>
              <w:bottom w:val="nil"/>
              <w:right w:val="single" w:sz="4" w:space="0" w:color="165788" w:themeColor="text1"/>
            </w:tcBorders>
            <w:shd w:val="clear" w:color="auto" w:fill="D9D9D9" w:themeFill="background1" w:themeFillShade="D9"/>
          </w:tcPr>
          <w:p w14:paraId="5AF1A454" w14:textId="77777777" w:rsidR="00D8711C" w:rsidRPr="006B1D69" w:rsidRDefault="00D8711C" w:rsidP="00D8711C">
            <w:pPr>
              <w:pStyle w:val="PPtext"/>
              <w:spacing w:before="0" w:line="180" w:lineRule="exact"/>
              <w:jc w:val="center"/>
              <w:rPr>
                <w:sz w:val="16"/>
                <w:szCs w:val="16"/>
              </w:rPr>
            </w:pPr>
            <w:r w:rsidRPr="00FB3205">
              <w:rPr>
                <w:sz w:val="16"/>
                <w:szCs w:val="16"/>
              </w:rPr>
              <w:t>4.312%</w:t>
            </w:r>
          </w:p>
        </w:tc>
        <w:tc>
          <w:tcPr>
            <w:tcW w:w="648" w:type="dxa"/>
            <w:tcBorders>
              <w:top w:val="nil"/>
              <w:left w:val="single" w:sz="4" w:space="0" w:color="165788" w:themeColor="text1"/>
              <w:bottom w:val="nil"/>
              <w:right w:val="single" w:sz="4" w:space="0" w:color="165788" w:themeColor="text1"/>
            </w:tcBorders>
            <w:shd w:val="clear" w:color="auto" w:fill="D9D9D9" w:themeFill="background1" w:themeFillShade="D9"/>
            <w:vAlign w:val="center"/>
          </w:tcPr>
          <w:p w14:paraId="033A2265" w14:textId="77777777" w:rsidR="00D8711C" w:rsidRPr="006B1D69" w:rsidRDefault="00D8711C" w:rsidP="00D8711C">
            <w:pPr>
              <w:pStyle w:val="PPtext"/>
              <w:spacing w:before="0" w:line="180" w:lineRule="exact"/>
              <w:jc w:val="center"/>
              <w:rPr>
                <w:sz w:val="16"/>
                <w:szCs w:val="16"/>
              </w:rPr>
            </w:pPr>
            <w:r>
              <w:rPr>
                <w:sz w:val="16"/>
                <w:szCs w:val="16"/>
              </w:rPr>
              <w:t>1.820</w:t>
            </w:r>
            <w:r w:rsidRPr="006B1D69">
              <w:rPr>
                <w:sz w:val="16"/>
                <w:szCs w:val="16"/>
              </w:rPr>
              <w:t>%</w:t>
            </w:r>
          </w:p>
        </w:tc>
        <w:tc>
          <w:tcPr>
            <w:tcW w:w="710" w:type="dxa"/>
            <w:tcBorders>
              <w:top w:val="nil"/>
              <w:left w:val="single" w:sz="4" w:space="0" w:color="165788" w:themeColor="text1"/>
              <w:bottom w:val="nil"/>
              <w:right w:val="single" w:sz="4" w:space="0" w:color="165788" w:themeColor="text1"/>
            </w:tcBorders>
            <w:shd w:val="clear" w:color="auto" w:fill="D9D9D9" w:themeFill="background1" w:themeFillShade="D9"/>
          </w:tcPr>
          <w:p w14:paraId="684638DB" w14:textId="77777777" w:rsidR="00D8711C" w:rsidRPr="006B1D69" w:rsidRDefault="00D8711C" w:rsidP="00D8711C">
            <w:pPr>
              <w:pStyle w:val="PPtext"/>
              <w:spacing w:before="0" w:line="180" w:lineRule="exact"/>
              <w:jc w:val="center"/>
              <w:rPr>
                <w:sz w:val="16"/>
                <w:szCs w:val="16"/>
              </w:rPr>
            </w:pPr>
            <w:r w:rsidRPr="00F94DBA">
              <w:rPr>
                <w:sz w:val="16"/>
                <w:szCs w:val="16"/>
              </w:rPr>
              <w:t>n/a</w:t>
            </w:r>
          </w:p>
        </w:tc>
        <w:tc>
          <w:tcPr>
            <w:tcW w:w="648" w:type="dxa"/>
            <w:tcBorders>
              <w:top w:val="nil"/>
              <w:left w:val="single" w:sz="4" w:space="0" w:color="165788" w:themeColor="text1"/>
              <w:bottom w:val="nil"/>
            </w:tcBorders>
            <w:shd w:val="clear" w:color="auto" w:fill="D9D9D9" w:themeFill="background1" w:themeFillShade="D9"/>
            <w:vAlign w:val="center"/>
          </w:tcPr>
          <w:p w14:paraId="6900244B" w14:textId="77777777" w:rsidR="00D8711C" w:rsidRPr="00922E40" w:rsidRDefault="00D8711C" w:rsidP="00D8711C">
            <w:pPr>
              <w:pStyle w:val="PPtext"/>
              <w:spacing w:before="0" w:line="180" w:lineRule="exact"/>
              <w:jc w:val="center"/>
              <w:rPr>
                <w:sz w:val="16"/>
                <w:szCs w:val="16"/>
              </w:rPr>
            </w:pPr>
            <w:r w:rsidRPr="00922E40">
              <w:rPr>
                <w:sz w:val="16"/>
                <w:szCs w:val="16"/>
              </w:rPr>
              <w:t>7.755%</w:t>
            </w:r>
          </w:p>
        </w:tc>
      </w:tr>
      <w:tr w:rsidR="00D8711C" w:rsidRPr="00266672" w14:paraId="23264BEF" w14:textId="77777777" w:rsidTr="00D8711C">
        <w:tc>
          <w:tcPr>
            <w:tcW w:w="936" w:type="dxa"/>
            <w:tcBorders>
              <w:top w:val="nil"/>
              <w:bottom w:val="nil"/>
              <w:right w:val="single" w:sz="4" w:space="0" w:color="165788" w:themeColor="text1"/>
            </w:tcBorders>
          </w:tcPr>
          <w:p w14:paraId="6EA59441" w14:textId="77777777" w:rsidR="00D8711C" w:rsidRPr="006B1D69" w:rsidRDefault="00D8711C" w:rsidP="00D8711C">
            <w:pPr>
              <w:pStyle w:val="PPtext"/>
              <w:spacing w:before="0" w:line="180" w:lineRule="exact"/>
              <w:rPr>
                <w:sz w:val="16"/>
                <w:szCs w:val="16"/>
              </w:rPr>
            </w:pPr>
            <w:r w:rsidRPr="006B1D69">
              <w:rPr>
                <w:sz w:val="16"/>
                <w:szCs w:val="16"/>
              </w:rPr>
              <w:t>Periodicals</w:t>
            </w:r>
          </w:p>
        </w:tc>
        <w:tc>
          <w:tcPr>
            <w:tcW w:w="648" w:type="dxa"/>
            <w:tcBorders>
              <w:top w:val="nil"/>
              <w:left w:val="single" w:sz="4" w:space="0" w:color="165788" w:themeColor="text1"/>
              <w:bottom w:val="nil"/>
              <w:right w:val="single" w:sz="4" w:space="0" w:color="165788" w:themeColor="text1"/>
            </w:tcBorders>
            <w:vAlign w:val="center"/>
          </w:tcPr>
          <w:p w14:paraId="6135820A" w14:textId="77777777" w:rsidR="00D8711C" w:rsidRPr="00CA09C3" w:rsidRDefault="00D8711C" w:rsidP="00D8711C">
            <w:pPr>
              <w:pStyle w:val="PPtext"/>
              <w:spacing w:before="0" w:line="180" w:lineRule="exact"/>
              <w:jc w:val="center"/>
              <w:rPr>
                <w:sz w:val="16"/>
                <w:szCs w:val="16"/>
              </w:rPr>
            </w:pPr>
            <w:r w:rsidRPr="00CA09C3">
              <w:rPr>
                <w:sz w:val="16"/>
                <w:szCs w:val="16"/>
              </w:rPr>
              <w:t>1.622%</w:t>
            </w:r>
          </w:p>
        </w:tc>
        <w:tc>
          <w:tcPr>
            <w:tcW w:w="648" w:type="dxa"/>
            <w:tcBorders>
              <w:top w:val="nil"/>
              <w:left w:val="single" w:sz="4" w:space="0" w:color="165788" w:themeColor="text1"/>
              <w:bottom w:val="nil"/>
              <w:right w:val="single" w:sz="4" w:space="0" w:color="165788" w:themeColor="text1"/>
            </w:tcBorders>
          </w:tcPr>
          <w:p w14:paraId="5CCAA05C" w14:textId="77777777" w:rsidR="00D8711C" w:rsidRPr="006B1D69" w:rsidRDefault="00D8711C" w:rsidP="00D8711C">
            <w:pPr>
              <w:pStyle w:val="PPtext"/>
              <w:spacing w:before="0" w:line="180" w:lineRule="exact"/>
              <w:jc w:val="center"/>
              <w:rPr>
                <w:sz w:val="16"/>
                <w:szCs w:val="16"/>
              </w:rPr>
            </w:pPr>
            <w:r w:rsidRPr="00031FFA">
              <w:rPr>
                <w:sz w:val="16"/>
                <w:szCs w:val="16"/>
              </w:rPr>
              <w:t>0.000</w:t>
            </w:r>
            <w:r>
              <w:rPr>
                <w:sz w:val="16"/>
                <w:szCs w:val="16"/>
              </w:rPr>
              <w:t>%</w:t>
            </w:r>
          </w:p>
        </w:tc>
        <w:tc>
          <w:tcPr>
            <w:tcW w:w="648" w:type="dxa"/>
            <w:tcBorders>
              <w:top w:val="nil"/>
              <w:left w:val="single" w:sz="4" w:space="0" w:color="165788" w:themeColor="text1"/>
              <w:bottom w:val="nil"/>
              <w:right w:val="single" w:sz="4" w:space="0" w:color="165788" w:themeColor="text1"/>
            </w:tcBorders>
          </w:tcPr>
          <w:p w14:paraId="6476C462" w14:textId="77777777" w:rsidR="00D8711C" w:rsidRPr="006B1D69" w:rsidRDefault="00D8711C" w:rsidP="00D8711C">
            <w:pPr>
              <w:pStyle w:val="PPtext"/>
              <w:spacing w:before="0" w:line="180" w:lineRule="exact"/>
              <w:jc w:val="center"/>
              <w:rPr>
                <w:sz w:val="16"/>
                <w:szCs w:val="16"/>
              </w:rPr>
            </w:pPr>
            <w:r w:rsidRPr="00FB3205">
              <w:rPr>
                <w:sz w:val="16"/>
                <w:szCs w:val="16"/>
              </w:rPr>
              <w:t>4.312%</w:t>
            </w:r>
          </w:p>
        </w:tc>
        <w:tc>
          <w:tcPr>
            <w:tcW w:w="648" w:type="dxa"/>
            <w:tcBorders>
              <w:top w:val="nil"/>
              <w:left w:val="single" w:sz="4" w:space="0" w:color="165788" w:themeColor="text1"/>
              <w:bottom w:val="nil"/>
              <w:right w:val="single" w:sz="4" w:space="0" w:color="165788" w:themeColor="text1"/>
            </w:tcBorders>
            <w:vAlign w:val="center"/>
          </w:tcPr>
          <w:p w14:paraId="3B58D113" w14:textId="77777777" w:rsidR="00D8711C" w:rsidRPr="006B1D69" w:rsidRDefault="00D8711C" w:rsidP="00D8711C">
            <w:pPr>
              <w:pStyle w:val="PPtext"/>
              <w:spacing w:before="0" w:line="180" w:lineRule="exact"/>
              <w:jc w:val="center"/>
              <w:rPr>
                <w:sz w:val="16"/>
                <w:szCs w:val="16"/>
              </w:rPr>
            </w:pPr>
            <w:r>
              <w:rPr>
                <w:sz w:val="16"/>
                <w:szCs w:val="16"/>
              </w:rPr>
              <w:t>1.820</w:t>
            </w:r>
            <w:r w:rsidRPr="006B1D69">
              <w:rPr>
                <w:sz w:val="16"/>
                <w:szCs w:val="16"/>
              </w:rPr>
              <w:t>%</w:t>
            </w:r>
          </w:p>
        </w:tc>
        <w:tc>
          <w:tcPr>
            <w:tcW w:w="710" w:type="dxa"/>
            <w:tcBorders>
              <w:top w:val="nil"/>
              <w:left w:val="single" w:sz="4" w:space="0" w:color="165788" w:themeColor="text1"/>
              <w:bottom w:val="nil"/>
              <w:right w:val="single" w:sz="4" w:space="0" w:color="165788" w:themeColor="text1"/>
            </w:tcBorders>
          </w:tcPr>
          <w:p w14:paraId="595987D7" w14:textId="77777777" w:rsidR="00D8711C" w:rsidRPr="006B1D69" w:rsidRDefault="00D8711C" w:rsidP="00D8711C">
            <w:pPr>
              <w:pStyle w:val="PPtext"/>
              <w:spacing w:before="0" w:line="180" w:lineRule="exact"/>
              <w:jc w:val="center"/>
              <w:rPr>
                <w:sz w:val="16"/>
                <w:szCs w:val="16"/>
              </w:rPr>
            </w:pPr>
            <w:r>
              <w:rPr>
                <w:sz w:val="16"/>
                <w:szCs w:val="16"/>
              </w:rPr>
              <w:t>2.000%</w:t>
            </w:r>
          </w:p>
        </w:tc>
        <w:tc>
          <w:tcPr>
            <w:tcW w:w="648" w:type="dxa"/>
            <w:tcBorders>
              <w:top w:val="nil"/>
              <w:left w:val="single" w:sz="4" w:space="0" w:color="165788" w:themeColor="text1"/>
              <w:bottom w:val="nil"/>
            </w:tcBorders>
          </w:tcPr>
          <w:p w14:paraId="5ABD16F3" w14:textId="77777777" w:rsidR="00D8711C" w:rsidRPr="00922E40" w:rsidRDefault="00D8711C" w:rsidP="00D8711C">
            <w:pPr>
              <w:pStyle w:val="PPtext"/>
              <w:spacing w:before="0" w:line="180" w:lineRule="exact"/>
              <w:jc w:val="center"/>
              <w:rPr>
                <w:sz w:val="16"/>
                <w:szCs w:val="16"/>
              </w:rPr>
            </w:pPr>
            <w:r w:rsidRPr="00922E40">
              <w:rPr>
                <w:sz w:val="16"/>
                <w:szCs w:val="16"/>
              </w:rPr>
              <w:t>9.754%</w:t>
            </w:r>
          </w:p>
        </w:tc>
      </w:tr>
      <w:tr w:rsidR="00D8711C" w:rsidRPr="00266672" w14:paraId="1BAAABE4" w14:textId="77777777" w:rsidTr="00D8711C">
        <w:tc>
          <w:tcPr>
            <w:tcW w:w="936" w:type="dxa"/>
            <w:tcBorders>
              <w:top w:val="nil"/>
              <w:bottom w:val="nil"/>
              <w:right w:val="single" w:sz="4" w:space="0" w:color="165788" w:themeColor="text1"/>
            </w:tcBorders>
            <w:shd w:val="clear" w:color="auto" w:fill="D9D9D9" w:themeFill="background1" w:themeFillShade="D9"/>
          </w:tcPr>
          <w:p w14:paraId="0F3BD9A2" w14:textId="77777777" w:rsidR="00D8711C" w:rsidRPr="006B1D69" w:rsidRDefault="00D8711C" w:rsidP="00D8711C">
            <w:pPr>
              <w:pStyle w:val="PPtext"/>
              <w:spacing w:before="0" w:line="180" w:lineRule="exact"/>
              <w:rPr>
                <w:spacing w:val="-1"/>
                <w:sz w:val="16"/>
                <w:szCs w:val="16"/>
              </w:rPr>
            </w:pPr>
            <w:r w:rsidRPr="006B1D69">
              <w:rPr>
                <w:spacing w:val="-1"/>
                <w:sz w:val="16"/>
                <w:szCs w:val="16"/>
              </w:rPr>
              <w:t xml:space="preserve">Package </w:t>
            </w:r>
            <w:proofErr w:type="spellStart"/>
            <w:r w:rsidRPr="006B1D69">
              <w:rPr>
                <w:spacing w:val="-1"/>
                <w:sz w:val="16"/>
                <w:szCs w:val="16"/>
              </w:rPr>
              <w:t>Svcs</w:t>
            </w:r>
            <w:proofErr w:type="spellEnd"/>
          </w:p>
        </w:tc>
        <w:tc>
          <w:tcPr>
            <w:tcW w:w="648" w:type="dxa"/>
            <w:tcBorders>
              <w:top w:val="nil"/>
              <w:left w:val="single" w:sz="4" w:space="0" w:color="165788" w:themeColor="text1"/>
              <w:bottom w:val="nil"/>
              <w:right w:val="single" w:sz="4" w:space="0" w:color="165788" w:themeColor="text1"/>
            </w:tcBorders>
            <w:shd w:val="clear" w:color="auto" w:fill="D9D9D9" w:themeFill="background1" w:themeFillShade="D9"/>
            <w:vAlign w:val="center"/>
          </w:tcPr>
          <w:p w14:paraId="0618CC1C" w14:textId="77777777" w:rsidR="00D8711C" w:rsidRPr="00CA09C3" w:rsidRDefault="00D8711C" w:rsidP="00D8711C">
            <w:pPr>
              <w:pStyle w:val="PPtext"/>
              <w:spacing w:before="0" w:line="180" w:lineRule="exact"/>
              <w:jc w:val="center"/>
              <w:rPr>
                <w:sz w:val="16"/>
                <w:szCs w:val="16"/>
              </w:rPr>
            </w:pPr>
            <w:r w:rsidRPr="00CA09C3">
              <w:rPr>
                <w:sz w:val="16"/>
                <w:szCs w:val="16"/>
              </w:rPr>
              <w:t>1.622%</w:t>
            </w:r>
          </w:p>
        </w:tc>
        <w:tc>
          <w:tcPr>
            <w:tcW w:w="648" w:type="dxa"/>
            <w:tcBorders>
              <w:top w:val="nil"/>
              <w:left w:val="single" w:sz="4" w:space="0" w:color="165788" w:themeColor="text1"/>
              <w:bottom w:val="nil"/>
              <w:right w:val="single" w:sz="4" w:space="0" w:color="165788" w:themeColor="text1"/>
            </w:tcBorders>
            <w:shd w:val="clear" w:color="auto" w:fill="D9D9D9" w:themeFill="background1" w:themeFillShade="D9"/>
          </w:tcPr>
          <w:p w14:paraId="005B00C1" w14:textId="77777777" w:rsidR="00D8711C" w:rsidRPr="006B1D69" w:rsidRDefault="00D8711C" w:rsidP="00D8711C">
            <w:pPr>
              <w:pStyle w:val="PPtext"/>
              <w:spacing w:before="0" w:line="180" w:lineRule="exact"/>
              <w:jc w:val="center"/>
              <w:rPr>
                <w:sz w:val="16"/>
                <w:szCs w:val="16"/>
              </w:rPr>
            </w:pPr>
            <w:r w:rsidRPr="00031FFA">
              <w:rPr>
                <w:sz w:val="16"/>
                <w:szCs w:val="16"/>
              </w:rPr>
              <w:t>0.00</w:t>
            </w:r>
            <w:r>
              <w:rPr>
                <w:sz w:val="16"/>
                <w:szCs w:val="16"/>
              </w:rPr>
              <w:t>1%</w:t>
            </w:r>
          </w:p>
        </w:tc>
        <w:tc>
          <w:tcPr>
            <w:tcW w:w="648" w:type="dxa"/>
            <w:tcBorders>
              <w:top w:val="nil"/>
              <w:left w:val="single" w:sz="4" w:space="0" w:color="165788" w:themeColor="text1"/>
              <w:bottom w:val="nil"/>
              <w:right w:val="single" w:sz="4" w:space="0" w:color="165788" w:themeColor="text1"/>
            </w:tcBorders>
            <w:shd w:val="clear" w:color="auto" w:fill="D9D9D9" w:themeFill="background1" w:themeFillShade="D9"/>
          </w:tcPr>
          <w:p w14:paraId="3E389087" w14:textId="77777777" w:rsidR="00D8711C" w:rsidRPr="006B1D69" w:rsidRDefault="00D8711C" w:rsidP="00D8711C">
            <w:pPr>
              <w:pStyle w:val="PPtext"/>
              <w:spacing w:before="0" w:line="180" w:lineRule="exact"/>
              <w:jc w:val="center"/>
              <w:rPr>
                <w:sz w:val="16"/>
                <w:szCs w:val="16"/>
              </w:rPr>
            </w:pPr>
            <w:r w:rsidRPr="00FB3205">
              <w:rPr>
                <w:sz w:val="16"/>
                <w:szCs w:val="16"/>
              </w:rPr>
              <w:t>4.312%</w:t>
            </w:r>
          </w:p>
        </w:tc>
        <w:tc>
          <w:tcPr>
            <w:tcW w:w="648" w:type="dxa"/>
            <w:tcBorders>
              <w:top w:val="nil"/>
              <w:left w:val="single" w:sz="4" w:space="0" w:color="165788" w:themeColor="text1"/>
              <w:bottom w:val="nil"/>
              <w:right w:val="single" w:sz="4" w:space="0" w:color="165788" w:themeColor="text1"/>
            </w:tcBorders>
            <w:shd w:val="clear" w:color="auto" w:fill="D9D9D9" w:themeFill="background1" w:themeFillShade="D9"/>
            <w:vAlign w:val="center"/>
          </w:tcPr>
          <w:p w14:paraId="1B0D6F87" w14:textId="77777777" w:rsidR="00D8711C" w:rsidRPr="006B1D69" w:rsidRDefault="00D8711C" w:rsidP="00D8711C">
            <w:pPr>
              <w:pStyle w:val="PPtext"/>
              <w:spacing w:before="0" w:line="180" w:lineRule="exact"/>
              <w:jc w:val="center"/>
              <w:rPr>
                <w:sz w:val="16"/>
                <w:szCs w:val="16"/>
              </w:rPr>
            </w:pPr>
            <w:r>
              <w:rPr>
                <w:sz w:val="16"/>
                <w:szCs w:val="16"/>
              </w:rPr>
              <w:t>1.820</w:t>
            </w:r>
            <w:r w:rsidRPr="006B1D69">
              <w:rPr>
                <w:sz w:val="16"/>
                <w:szCs w:val="16"/>
              </w:rPr>
              <w:t>%</w:t>
            </w:r>
          </w:p>
        </w:tc>
        <w:tc>
          <w:tcPr>
            <w:tcW w:w="710" w:type="dxa"/>
            <w:tcBorders>
              <w:top w:val="nil"/>
              <w:left w:val="single" w:sz="4" w:space="0" w:color="165788" w:themeColor="text1"/>
              <w:bottom w:val="nil"/>
              <w:right w:val="single" w:sz="4" w:space="0" w:color="165788" w:themeColor="text1"/>
            </w:tcBorders>
            <w:shd w:val="clear" w:color="auto" w:fill="D9D9D9" w:themeFill="background1" w:themeFillShade="D9"/>
          </w:tcPr>
          <w:p w14:paraId="6D7C3FCB" w14:textId="77777777" w:rsidR="00D8711C" w:rsidRPr="006B1D69" w:rsidRDefault="00D8711C" w:rsidP="00D8711C">
            <w:pPr>
              <w:pStyle w:val="PPtext"/>
              <w:spacing w:before="0" w:line="180" w:lineRule="exact"/>
              <w:jc w:val="center"/>
              <w:rPr>
                <w:sz w:val="16"/>
                <w:szCs w:val="16"/>
              </w:rPr>
            </w:pPr>
            <w:r w:rsidRPr="00F94DBA">
              <w:rPr>
                <w:sz w:val="16"/>
                <w:szCs w:val="16"/>
              </w:rPr>
              <w:t>n/a</w:t>
            </w:r>
          </w:p>
        </w:tc>
        <w:tc>
          <w:tcPr>
            <w:tcW w:w="648" w:type="dxa"/>
            <w:tcBorders>
              <w:top w:val="nil"/>
              <w:left w:val="single" w:sz="4" w:space="0" w:color="165788" w:themeColor="text1"/>
              <w:bottom w:val="nil"/>
            </w:tcBorders>
            <w:shd w:val="clear" w:color="auto" w:fill="D9D9D9" w:themeFill="background1" w:themeFillShade="D9"/>
          </w:tcPr>
          <w:p w14:paraId="52A83FF6" w14:textId="77777777" w:rsidR="00D8711C" w:rsidRPr="00922E40" w:rsidRDefault="00D8711C" w:rsidP="00D8711C">
            <w:pPr>
              <w:pStyle w:val="PPtext"/>
              <w:spacing w:before="0" w:line="180" w:lineRule="exact"/>
              <w:jc w:val="center"/>
              <w:rPr>
                <w:sz w:val="16"/>
                <w:szCs w:val="16"/>
              </w:rPr>
            </w:pPr>
            <w:r w:rsidRPr="00922E40">
              <w:rPr>
                <w:sz w:val="16"/>
                <w:szCs w:val="16"/>
              </w:rPr>
              <w:t>7.755%</w:t>
            </w:r>
          </w:p>
        </w:tc>
      </w:tr>
      <w:tr w:rsidR="00D8711C" w:rsidRPr="00266672" w14:paraId="0BE992F4" w14:textId="77777777" w:rsidTr="00D8711C">
        <w:tc>
          <w:tcPr>
            <w:tcW w:w="936" w:type="dxa"/>
            <w:tcBorders>
              <w:top w:val="nil"/>
              <w:right w:val="single" w:sz="4" w:space="0" w:color="165788" w:themeColor="text1"/>
            </w:tcBorders>
          </w:tcPr>
          <w:p w14:paraId="7D911667" w14:textId="77777777" w:rsidR="00D8711C" w:rsidRPr="006B1D69" w:rsidRDefault="00D8711C" w:rsidP="00D8711C">
            <w:pPr>
              <w:pStyle w:val="PPtext"/>
              <w:spacing w:before="0" w:line="180" w:lineRule="exact"/>
              <w:rPr>
                <w:sz w:val="16"/>
                <w:szCs w:val="16"/>
              </w:rPr>
            </w:pPr>
            <w:r w:rsidRPr="006B1D69">
              <w:rPr>
                <w:sz w:val="16"/>
                <w:szCs w:val="16"/>
              </w:rPr>
              <w:t xml:space="preserve">Special </w:t>
            </w:r>
            <w:proofErr w:type="spellStart"/>
            <w:r w:rsidRPr="006B1D69">
              <w:rPr>
                <w:sz w:val="16"/>
                <w:szCs w:val="16"/>
              </w:rPr>
              <w:t>Svcs</w:t>
            </w:r>
            <w:proofErr w:type="spellEnd"/>
          </w:p>
        </w:tc>
        <w:tc>
          <w:tcPr>
            <w:tcW w:w="648" w:type="dxa"/>
            <w:tcBorders>
              <w:top w:val="nil"/>
              <w:left w:val="single" w:sz="4" w:space="0" w:color="165788" w:themeColor="text1"/>
              <w:bottom w:val="single" w:sz="8" w:space="0" w:color="165788" w:themeColor="text1"/>
              <w:right w:val="single" w:sz="4" w:space="0" w:color="165788" w:themeColor="text1"/>
            </w:tcBorders>
            <w:vAlign w:val="center"/>
          </w:tcPr>
          <w:p w14:paraId="42155FAF" w14:textId="77777777" w:rsidR="00D8711C" w:rsidRPr="00CA09C3" w:rsidRDefault="00D8711C" w:rsidP="00D8711C">
            <w:pPr>
              <w:pStyle w:val="PPtext"/>
              <w:spacing w:before="0" w:line="180" w:lineRule="exact"/>
              <w:jc w:val="center"/>
              <w:rPr>
                <w:sz w:val="16"/>
                <w:szCs w:val="16"/>
              </w:rPr>
            </w:pPr>
            <w:r w:rsidRPr="00CA09C3">
              <w:rPr>
                <w:sz w:val="16"/>
                <w:szCs w:val="16"/>
              </w:rPr>
              <w:t>1.622%</w:t>
            </w:r>
          </w:p>
        </w:tc>
        <w:tc>
          <w:tcPr>
            <w:tcW w:w="648" w:type="dxa"/>
            <w:tcBorders>
              <w:top w:val="nil"/>
              <w:left w:val="single" w:sz="4" w:space="0" w:color="165788" w:themeColor="text1"/>
              <w:bottom w:val="single" w:sz="8" w:space="0" w:color="165788" w:themeColor="text1"/>
              <w:right w:val="single" w:sz="4" w:space="0" w:color="165788" w:themeColor="text1"/>
            </w:tcBorders>
          </w:tcPr>
          <w:p w14:paraId="49049690" w14:textId="77777777" w:rsidR="00D8711C" w:rsidRPr="006B1D69" w:rsidRDefault="00D8711C" w:rsidP="00D8711C">
            <w:pPr>
              <w:pStyle w:val="PPtext"/>
              <w:spacing w:before="0" w:line="180" w:lineRule="exact"/>
              <w:jc w:val="center"/>
              <w:rPr>
                <w:sz w:val="16"/>
                <w:szCs w:val="16"/>
              </w:rPr>
            </w:pPr>
            <w:r w:rsidRPr="00031FFA">
              <w:rPr>
                <w:sz w:val="16"/>
                <w:szCs w:val="16"/>
              </w:rPr>
              <w:t>0.0</w:t>
            </w:r>
            <w:r>
              <w:rPr>
                <w:sz w:val="16"/>
                <w:szCs w:val="16"/>
              </w:rPr>
              <w:t>01%</w:t>
            </w:r>
          </w:p>
        </w:tc>
        <w:tc>
          <w:tcPr>
            <w:tcW w:w="648" w:type="dxa"/>
            <w:tcBorders>
              <w:top w:val="nil"/>
              <w:left w:val="single" w:sz="4" w:space="0" w:color="165788" w:themeColor="text1"/>
              <w:bottom w:val="single" w:sz="8" w:space="0" w:color="165788" w:themeColor="text1"/>
              <w:right w:val="single" w:sz="4" w:space="0" w:color="165788" w:themeColor="text1"/>
            </w:tcBorders>
          </w:tcPr>
          <w:p w14:paraId="5010F1EC" w14:textId="77777777" w:rsidR="00D8711C" w:rsidRPr="006B1D69" w:rsidRDefault="00D8711C" w:rsidP="00D8711C">
            <w:pPr>
              <w:pStyle w:val="PPtext"/>
              <w:spacing w:before="0" w:line="180" w:lineRule="exact"/>
              <w:jc w:val="center"/>
              <w:rPr>
                <w:sz w:val="16"/>
                <w:szCs w:val="16"/>
              </w:rPr>
            </w:pPr>
            <w:r w:rsidRPr="00FB3205">
              <w:rPr>
                <w:sz w:val="16"/>
                <w:szCs w:val="16"/>
              </w:rPr>
              <w:t>4.312%</w:t>
            </w:r>
          </w:p>
        </w:tc>
        <w:tc>
          <w:tcPr>
            <w:tcW w:w="648" w:type="dxa"/>
            <w:tcBorders>
              <w:top w:val="nil"/>
              <w:left w:val="single" w:sz="4" w:space="0" w:color="165788" w:themeColor="text1"/>
              <w:bottom w:val="single" w:sz="8" w:space="0" w:color="165788" w:themeColor="text1"/>
              <w:right w:val="single" w:sz="4" w:space="0" w:color="165788" w:themeColor="text1"/>
            </w:tcBorders>
            <w:vAlign w:val="center"/>
          </w:tcPr>
          <w:p w14:paraId="351DBBE2" w14:textId="77777777" w:rsidR="00D8711C" w:rsidRPr="006B1D69" w:rsidRDefault="00D8711C" w:rsidP="00D8711C">
            <w:pPr>
              <w:pStyle w:val="PPtext"/>
              <w:spacing w:before="0" w:line="180" w:lineRule="exact"/>
              <w:jc w:val="center"/>
              <w:rPr>
                <w:sz w:val="16"/>
                <w:szCs w:val="16"/>
              </w:rPr>
            </w:pPr>
            <w:r>
              <w:rPr>
                <w:sz w:val="16"/>
                <w:szCs w:val="16"/>
              </w:rPr>
              <w:t>1.820</w:t>
            </w:r>
            <w:r w:rsidRPr="006B1D69">
              <w:rPr>
                <w:sz w:val="16"/>
                <w:szCs w:val="16"/>
              </w:rPr>
              <w:t>%</w:t>
            </w:r>
          </w:p>
        </w:tc>
        <w:tc>
          <w:tcPr>
            <w:tcW w:w="710" w:type="dxa"/>
            <w:tcBorders>
              <w:top w:val="nil"/>
              <w:left w:val="single" w:sz="4" w:space="0" w:color="165788" w:themeColor="text1"/>
              <w:bottom w:val="single" w:sz="8" w:space="0" w:color="165788" w:themeColor="text1"/>
              <w:right w:val="single" w:sz="4" w:space="0" w:color="165788" w:themeColor="text1"/>
            </w:tcBorders>
          </w:tcPr>
          <w:p w14:paraId="50BD9C13" w14:textId="77777777" w:rsidR="00D8711C" w:rsidRPr="006B1D69" w:rsidRDefault="00D8711C" w:rsidP="00D8711C">
            <w:pPr>
              <w:pStyle w:val="PPtext"/>
              <w:spacing w:before="0" w:line="180" w:lineRule="exact"/>
              <w:jc w:val="center"/>
              <w:rPr>
                <w:sz w:val="16"/>
                <w:szCs w:val="16"/>
              </w:rPr>
            </w:pPr>
            <w:r w:rsidRPr="00F94DBA">
              <w:rPr>
                <w:sz w:val="16"/>
                <w:szCs w:val="16"/>
              </w:rPr>
              <w:t>n/a</w:t>
            </w:r>
          </w:p>
        </w:tc>
        <w:tc>
          <w:tcPr>
            <w:tcW w:w="648" w:type="dxa"/>
            <w:tcBorders>
              <w:top w:val="nil"/>
              <w:left w:val="single" w:sz="4" w:space="0" w:color="165788" w:themeColor="text1"/>
            </w:tcBorders>
          </w:tcPr>
          <w:p w14:paraId="15196FFA" w14:textId="77777777" w:rsidR="00D8711C" w:rsidRPr="00922E40" w:rsidRDefault="00D8711C" w:rsidP="00D8711C">
            <w:pPr>
              <w:pStyle w:val="PPtext"/>
              <w:spacing w:before="0" w:line="180" w:lineRule="exact"/>
              <w:jc w:val="center"/>
              <w:rPr>
                <w:sz w:val="16"/>
                <w:szCs w:val="16"/>
              </w:rPr>
            </w:pPr>
            <w:r w:rsidRPr="00922E40">
              <w:rPr>
                <w:sz w:val="16"/>
                <w:szCs w:val="16"/>
              </w:rPr>
              <w:t>7.755%</w:t>
            </w:r>
          </w:p>
        </w:tc>
      </w:tr>
    </w:tbl>
    <w:p w14:paraId="6CCE09D6" w14:textId="77777777" w:rsidR="00C97556" w:rsidRPr="007C70D0" w:rsidRDefault="00C97556" w:rsidP="007C70D0">
      <w:pPr>
        <w:pStyle w:val="PPtext"/>
      </w:pPr>
      <w:r>
        <w:t>To im</w:t>
      </w:r>
      <w:r w:rsidRPr="007C70D0">
        <w:t xml:space="preserve">plement the next price increase in July, the procedural schedule means the USPS must file for it with the PRC in early </w:t>
      </w:r>
      <w:proofErr w:type="gramStart"/>
      <w:r w:rsidRPr="007C70D0">
        <w:t>April, before</w:t>
      </w:r>
      <w:proofErr w:type="gramEnd"/>
      <w:r w:rsidRPr="007C70D0">
        <w:t xml:space="preserve"> the March CPI is published on April 10.</w:t>
      </w:r>
    </w:p>
    <w:p w14:paraId="375C4BDB" w14:textId="0A6A98B0" w:rsidR="00C97556" w:rsidRDefault="00C97556" w:rsidP="007C70D0">
      <w:pPr>
        <w:pStyle w:val="PPtext"/>
      </w:pPr>
      <w:r w:rsidRPr="007C70D0">
        <w:t>It’s all bu</w:t>
      </w:r>
      <w:r>
        <w:t>t guaranteed that DeJoy will ask the governors to approve the maximum possible increase, and equally certain they’ll accede to his request.  So, with the component factors now known, the April filing likely will seek an increase of nearly 7¾% for most classes, with Periodicals 2% more</w:t>
      </w:r>
      <w:r w:rsidR="00D8711C">
        <w:t>.</w:t>
      </w:r>
    </w:p>
    <w:p w14:paraId="7E5C3CD2" w14:textId="151A9D0D" w:rsidR="00B452B6" w:rsidRPr="007C70D0" w:rsidRDefault="00764C99" w:rsidP="007C70D0">
      <w:pPr>
        <w:pStyle w:val="PPSub"/>
      </w:pPr>
      <w:r w:rsidRPr="007C70D0">
        <w:t>PRC Opens Inquiry into USPS Zone 10 Price Structure</w:t>
      </w:r>
    </w:p>
    <w:p w14:paraId="3E990A62" w14:textId="77777777" w:rsidR="001300B8" w:rsidRPr="001300B8" w:rsidRDefault="001300B8" w:rsidP="007C70D0">
      <w:pPr>
        <w:pStyle w:val="PPtext"/>
      </w:pPr>
      <w:r w:rsidRPr="001300B8">
        <w:t>As stated in its March 22 order approving Zone 10 prices for some competitive products, the Postal Regulatory Commission concurrently opened a Public Inquiry docket (PI2024-2) “to explore the appropriate classification of Zone 10 packages pursuant to 39 USC 3642 and whether the implementation of Zone 10 prices raises a material issue of fact concerning whether a violation of 39 USC 403(c) has occurred if the Postal Service elects to implement the Zone 10 prices.”</w:t>
      </w:r>
    </w:p>
    <w:p w14:paraId="103020BB" w14:textId="77777777" w:rsidR="001300B8" w:rsidRPr="001300B8" w:rsidRDefault="001300B8" w:rsidP="000918B1">
      <w:pPr>
        <w:pStyle w:val="PPtext"/>
      </w:pPr>
      <w:r w:rsidRPr="001300B8">
        <w:t>(The cited statutes state:</w:t>
      </w:r>
    </w:p>
    <w:p w14:paraId="21645238" w14:textId="77777777" w:rsidR="001300B8" w:rsidRPr="001300B8" w:rsidRDefault="001300B8" w:rsidP="001300B8">
      <w:pPr>
        <w:widowControl w:val="0"/>
        <w:spacing w:before="40" w:line="200" w:lineRule="exact"/>
        <w:ind w:left="144"/>
        <w:rPr>
          <w:rFonts w:ascii="Calibri" w:eastAsia="Times New Roman" w:hAnsi="Calibri" w:cs="Calibri"/>
          <w:sz w:val="18"/>
          <w:szCs w:val="18"/>
        </w:rPr>
      </w:pPr>
      <w:r w:rsidRPr="001300B8">
        <w:rPr>
          <w:rFonts w:ascii="Calibri" w:eastAsia="Times New Roman" w:hAnsi="Calibri" w:cs="Calibri"/>
          <w:sz w:val="18"/>
          <w:szCs w:val="18"/>
        </w:rPr>
        <w:t xml:space="preserve">39 USC 403(c): “In providing services and in establishing classifications, rates, and fees under this title, the Postal Service shall not, except as specifically authorized in this title, </w:t>
      </w:r>
      <w:r w:rsidRPr="001300B8">
        <w:rPr>
          <w:rFonts w:ascii="Calibri" w:eastAsia="Times New Roman" w:hAnsi="Calibri" w:cs="Calibri"/>
          <w:sz w:val="18"/>
          <w:szCs w:val="18"/>
          <w:shd w:val="clear" w:color="auto" w:fill="F5E9CC"/>
        </w:rPr>
        <w:t>make any undue or unreasonable discrimination among users of the mails</w:t>
      </w:r>
      <w:r w:rsidRPr="001300B8">
        <w:rPr>
          <w:rFonts w:ascii="Calibri" w:eastAsia="Times New Roman" w:hAnsi="Calibri" w:cs="Calibri"/>
          <w:sz w:val="18"/>
          <w:szCs w:val="18"/>
        </w:rPr>
        <w:t>, nor shall it grant any undue or unreasonable preferences to any such user.”</w:t>
      </w:r>
    </w:p>
    <w:p w14:paraId="20B2EF3C" w14:textId="77777777" w:rsidR="001300B8" w:rsidRPr="001300B8" w:rsidRDefault="001300B8" w:rsidP="001300B8">
      <w:pPr>
        <w:widowControl w:val="0"/>
        <w:spacing w:before="40" w:line="200" w:lineRule="exact"/>
        <w:ind w:left="144"/>
        <w:rPr>
          <w:rFonts w:ascii="Calibri" w:eastAsia="Times New Roman" w:hAnsi="Calibri" w:cs="Calibri"/>
          <w:sz w:val="18"/>
          <w:szCs w:val="18"/>
        </w:rPr>
      </w:pPr>
      <w:r w:rsidRPr="001300B8">
        <w:rPr>
          <w:rFonts w:ascii="Calibri" w:eastAsia="Times New Roman" w:hAnsi="Calibri" w:cs="Calibri"/>
          <w:sz w:val="18"/>
          <w:szCs w:val="18"/>
        </w:rPr>
        <w:t xml:space="preserve">39 USC 3642(b)(1): “The market-dominant category of products shall consist of each product in the sale of which the Postal Service exercises sufficient market power that it can effectively set the price of such product substantially above costs, raise prices significantly, decrease quality, or decrease output, without risk of losing a significant level of business to other firms offering similar products.  </w:t>
      </w:r>
      <w:r w:rsidRPr="001300B8">
        <w:rPr>
          <w:rFonts w:ascii="Calibri" w:eastAsia="Times New Roman" w:hAnsi="Calibri" w:cs="Calibri"/>
          <w:sz w:val="18"/>
          <w:szCs w:val="18"/>
          <w:shd w:val="clear" w:color="auto" w:fill="F5E9CC"/>
        </w:rPr>
        <w:t>The competitive category of products shall consist of all other products.</w:t>
      </w:r>
    </w:p>
    <w:p w14:paraId="0B908FD1" w14:textId="77777777" w:rsidR="001300B8" w:rsidRPr="001300B8" w:rsidRDefault="001300B8" w:rsidP="001300B8">
      <w:pPr>
        <w:widowControl w:val="0"/>
        <w:spacing w:before="40" w:line="200" w:lineRule="exact"/>
        <w:ind w:left="144"/>
        <w:rPr>
          <w:rFonts w:ascii="Calibri" w:eastAsia="Times New Roman" w:hAnsi="Calibri" w:cs="Calibri"/>
          <w:sz w:val="18"/>
          <w:szCs w:val="18"/>
        </w:rPr>
      </w:pPr>
      <w:r w:rsidRPr="001300B8">
        <w:rPr>
          <w:rFonts w:ascii="Calibri" w:eastAsia="Times New Roman" w:hAnsi="Calibri" w:cs="Calibri"/>
          <w:sz w:val="18"/>
          <w:szCs w:val="18"/>
        </w:rPr>
        <w:t>39 USC 3642(b)(3): “In making any decision under this section, due regard shall be given to-</w:t>
      </w:r>
    </w:p>
    <w:p w14:paraId="43E9EF2F" w14:textId="77777777" w:rsidR="001300B8" w:rsidRPr="001300B8" w:rsidRDefault="001300B8" w:rsidP="001300B8">
      <w:pPr>
        <w:widowControl w:val="0"/>
        <w:spacing w:before="0" w:line="200" w:lineRule="exact"/>
        <w:ind w:left="288"/>
        <w:rPr>
          <w:rFonts w:ascii="Calibri" w:eastAsia="Times New Roman" w:hAnsi="Calibri" w:cs="Calibri"/>
          <w:sz w:val="18"/>
          <w:szCs w:val="18"/>
        </w:rPr>
      </w:pPr>
      <w:r w:rsidRPr="001300B8">
        <w:rPr>
          <w:rFonts w:ascii="Calibri" w:eastAsia="Times New Roman" w:hAnsi="Calibri" w:cs="Calibri"/>
          <w:sz w:val="18"/>
          <w:szCs w:val="18"/>
        </w:rPr>
        <w:t xml:space="preserve">(A) the availability and nature of enterprises in the private sector engaged in the delivery of the product </w:t>
      </w:r>
      <w:proofErr w:type="gramStart"/>
      <w:r w:rsidRPr="001300B8">
        <w:rPr>
          <w:rFonts w:ascii="Calibri" w:eastAsia="Times New Roman" w:hAnsi="Calibri" w:cs="Calibri"/>
          <w:sz w:val="18"/>
          <w:szCs w:val="18"/>
        </w:rPr>
        <w:t>involved;</w:t>
      </w:r>
      <w:proofErr w:type="gramEnd"/>
    </w:p>
    <w:p w14:paraId="0089C900" w14:textId="77777777" w:rsidR="001300B8" w:rsidRPr="001300B8" w:rsidRDefault="001300B8" w:rsidP="001300B8">
      <w:pPr>
        <w:widowControl w:val="0"/>
        <w:spacing w:before="0" w:line="200" w:lineRule="exact"/>
        <w:ind w:left="288"/>
        <w:rPr>
          <w:rFonts w:ascii="Calibri" w:eastAsia="Times New Roman" w:hAnsi="Calibri" w:cs="Calibri"/>
          <w:sz w:val="18"/>
          <w:szCs w:val="18"/>
        </w:rPr>
      </w:pPr>
      <w:r w:rsidRPr="001300B8">
        <w:rPr>
          <w:rFonts w:ascii="Calibri" w:eastAsia="Times New Roman" w:hAnsi="Calibri" w:cs="Calibri"/>
          <w:sz w:val="18"/>
          <w:szCs w:val="18"/>
        </w:rPr>
        <w:t xml:space="preserve">(B) </w:t>
      </w:r>
      <w:r w:rsidRPr="001300B8">
        <w:rPr>
          <w:rFonts w:ascii="Calibri" w:eastAsia="Times New Roman" w:hAnsi="Calibri" w:cs="Calibri"/>
          <w:sz w:val="18"/>
          <w:szCs w:val="18"/>
          <w:shd w:val="clear" w:color="auto" w:fill="F5E9CC"/>
        </w:rPr>
        <w:t>the views of those who use the product</w:t>
      </w:r>
      <w:r w:rsidRPr="001300B8">
        <w:rPr>
          <w:rFonts w:ascii="Calibri" w:eastAsia="Times New Roman" w:hAnsi="Calibri" w:cs="Calibri"/>
          <w:sz w:val="18"/>
          <w:szCs w:val="18"/>
        </w:rPr>
        <w:t xml:space="preserve"> involved on </w:t>
      </w:r>
      <w:r w:rsidRPr="001300B8">
        <w:rPr>
          <w:rFonts w:ascii="Calibri" w:eastAsia="Times New Roman" w:hAnsi="Calibri" w:cs="Calibri"/>
          <w:sz w:val="18"/>
          <w:szCs w:val="18"/>
          <w:shd w:val="clear" w:color="auto" w:fill="F5E9CC"/>
        </w:rPr>
        <w:t>the appropriateness of the proposed action</w:t>
      </w:r>
      <w:r w:rsidRPr="001300B8">
        <w:rPr>
          <w:rFonts w:ascii="Calibri" w:eastAsia="Times New Roman" w:hAnsi="Calibri" w:cs="Calibri"/>
          <w:sz w:val="18"/>
          <w:szCs w:val="18"/>
        </w:rPr>
        <w:t>; and</w:t>
      </w:r>
    </w:p>
    <w:p w14:paraId="40F0C032" w14:textId="77777777" w:rsidR="001300B8" w:rsidRPr="001300B8" w:rsidRDefault="001300B8" w:rsidP="001300B8">
      <w:pPr>
        <w:widowControl w:val="0"/>
        <w:spacing w:before="0" w:line="200" w:lineRule="exact"/>
        <w:ind w:left="288"/>
        <w:rPr>
          <w:rFonts w:ascii="Calibri" w:eastAsia="Times New Roman" w:hAnsi="Calibri" w:cs="Calibri"/>
          <w:sz w:val="18"/>
          <w:szCs w:val="18"/>
        </w:rPr>
      </w:pPr>
      <w:r w:rsidRPr="001300B8">
        <w:rPr>
          <w:rFonts w:ascii="Calibri" w:eastAsia="Times New Roman" w:hAnsi="Calibri" w:cs="Calibri"/>
          <w:sz w:val="18"/>
          <w:szCs w:val="18"/>
        </w:rPr>
        <w:t xml:space="preserve">(C) </w:t>
      </w:r>
      <w:r w:rsidRPr="001300B8">
        <w:rPr>
          <w:rFonts w:ascii="Calibri" w:eastAsia="Times New Roman" w:hAnsi="Calibri" w:cs="Calibri"/>
          <w:sz w:val="18"/>
          <w:szCs w:val="18"/>
          <w:shd w:val="clear" w:color="auto" w:fill="F5E9CC"/>
        </w:rPr>
        <w:t>the likely impact of the proposed action on small business concerns</w:t>
      </w:r>
      <w:r w:rsidRPr="001300B8">
        <w:rPr>
          <w:rFonts w:ascii="Calibri" w:eastAsia="Times New Roman" w:hAnsi="Calibri" w:cs="Calibri"/>
          <w:sz w:val="18"/>
          <w:szCs w:val="18"/>
        </w:rPr>
        <w:t xml:space="preserve"> (within the meaning of section 3641(h)).”)</w:t>
      </w:r>
    </w:p>
    <w:p w14:paraId="6F0A04AC" w14:textId="0D29CF18" w:rsidR="001300B8" w:rsidRPr="001300B8" w:rsidRDefault="001300B8" w:rsidP="000918B1">
      <w:pPr>
        <w:pStyle w:val="PPtext"/>
      </w:pPr>
      <w:r w:rsidRPr="001300B8">
        <w:t>As noted in its March 22 decision, the statutory authority of the PRC is limited only to assessing the legality of the proposed prices.  Accordingly, though it approved the Zone 10 proposal as legal, the PRC could not act on its significant concerns that the Postal Service had filed its proposal with insufficient understanding of the marketplace, the costs on which it partially based its proposal, and the impact of the prices on specific customers, and without adequately supporting its proposal accordingly.  The commission also faulted the USPS for minimally addressing the statements and concerns of commenters.</w:t>
      </w:r>
    </w:p>
    <w:p w14:paraId="44FA3728" w14:textId="77777777" w:rsidR="001300B8" w:rsidRPr="001300B8" w:rsidRDefault="001300B8" w:rsidP="001300B8">
      <w:pPr>
        <w:widowControl w:val="0"/>
        <w:tabs>
          <w:tab w:val="left" w:pos="288"/>
        </w:tabs>
        <w:spacing w:before="60" w:line="220" w:lineRule="exact"/>
        <w:rPr>
          <w:rFonts w:ascii="Calibri" w:eastAsia="Times New Roman" w:hAnsi="Calibri" w:cs="Calibri"/>
          <w:sz w:val="20"/>
          <w:szCs w:val="20"/>
        </w:rPr>
      </w:pPr>
      <w:r w:rsidRPr="001300B8">
        <w:rPr>
          <w:rFonts w:ascii="Calibri" w:eastAsia="Times New Roman" w:hAnsi="Calibri" w:cs="Calibri"/>
          <w:sz w:val="20"/>
          <w:szCs w:val="20"/>
        </w:rPr>
        <w:t>As stated in its order establishing the inquiry docket:</w:t>
      </w:r>
    </w:p>
    <w:p w14:paraId="1501082F" w14:textId="4E22D086" w:rsidR="009B36D6" w:rsidRPr="009B36D6" w:rsidRDefault="001300B8" w:rsidP="000918B1">
      <w:pPr>
        <w:pStyle w:val="PPquote"/>
      </w:pPr>
      <w:r w:rsidRPr="001300B8">
        <w:t xml:space="preserve">“In Order No. 7016, the Commission acknowledged that its role in reviewing proposed Competitive product rate and classification changes was limited by law. ... However, the Commission also identified numerous concerns with the Postal Service’s proposal and approach and urged the Postal Service to reconsider whether it is prudent or necessary to implement its proposal.  The Commission also identified two areas that were particularly suited to further exploration in a separate public inquiry proceeding: (1) the question of </w:t>
      </w:r>
      <w:r w:rsidRPr="001300B8">
        <w:rPr>
          <w:shd w:val="clear" w:color="auto" w:fill="F5E9CC"/>
        </w:rPr>
        <w:t>whether Zone 10 packages are appropriately classified as Competitive products</w:t>
      </w:r>
      <w:r w:rsidRPr="001300B8">
        <w:t xml:space="preserve"> pursuant to 39 USC 3642 and (2) the question of whether the implementation of Zone 10 prices raises a material issue of fact concerning </w:t>
      </w:r>
      <w:r w:rsidRPr="001300B8">
        <w:rPr>
          <w:shd w:val="clear" w:color="auto" w:fill="F5E9CC"/>
        </w:rPr>
        <w:t>whether a violation of 39 USC 403(c) has occurred if the Postal Service elects to implement the Zone 10 prices</w:t>
      </w:r>
      <w:r w:rsidRPr="001300B8">
        <w:t>.”</w:t>
      </w:r>
    </w:p>
    <w:p w14:paraId="5E5D50EC" w14:textId="77777777" w:rsidR="00C35FFC" w:rsidRDefault="00C35FFC" w:rsidP="00C35FFC">
      <w:pPr>
        <w:pStyle w:val="PPtext"/>
        <w:spacing w:before="60"/>
      </w:pPr>
      <w:r>
        <w:t xml:space="preserve">The PRC added </w:t>
      </w:r>
      <w:proofErr w:type="gramStart"/>
      <w:r>
        <w:t>that</w:t>
      </w:r>
      <w:proofErr w:type="gramEnd"/>
    </w:p>
    <w:p w14:paraId="3CF65BCE" w14:textId="77777777" w:rsidR="00C35FFC" w:rsidRDefault="00C35FFC" w:rsidP="00C35FFC">
      <w:pPr>
        <w:pStyle w:val="PPquote"/>
      </w:pPr>
      <w:r>
        <w:t xml:space="preserve">“… </w:t>
      </w:r>
      <w:r w:rsidRPr="005D5795">
        <w:t>the Commission appoints John Avila to serve as presiding officer in this docket.</w:t>
      </w:r>
      <w:r>
        <w:t xml:space="preserve"> </w:t>
      </w:r>
      <w:r w:rsidRPr="005D5795">
        <w:t xml:space="preserve"> The presiding officer shall serve in an investigatory role and make filings in this docket as described in the body of this Order.</w:t>
      </w:r>
      <w:r>
        <w:t>”</w:t>
      </w:r>
    </w:p>
    <w:p w14:paraId="19FAF4C6" w14:textId="77777777" w:rsidR="00C35FFC" w:rsidRDefault="00C35FFC" w:rsidP="00C35FFC">
      <w:pPr>
        <w:pStyle w:val="PPtext"/>
      </w:pPr>
      <w:r>
        <w:lastRenderedPageBreak/>
        <w:t>The PRC order further directed that “o</w:t>
      </w:r>
      <w:r w:rsidRPr="00EB23E8">
        <w:t>nce the presiding officer serving as investigator has sufficient information</w:t>
      </w:r>
      <w:r>
        <w:t>”</w:t>
      </w:r>
      <w:r w:rsidRPr="00EB23E8">
        <w:t xml:space="preserve"> to</w:t>
      </w:r>
      <w:r>
        <w:t xml:space="preserve"> </w:t>
      </w:r>
      <w:proofErr w:type="gramStart"/>
      <w:r>
        <w:t>make a determination</w:t>
      </w:r>
      <w:proofErr w:type="gramEnd"/>
      <w:r>
        <w:t xml:space="preserve"> on either matter, “</w:t>
      </w:r>
      <w:r w:rsidRPr="00EB23E8">
        <w:t>the presiding officer shall file a public, written report to the Commission in this proceeding detailing his analysis and recommendations to the Commission on that issue.</w:t>
      </w:r>
      <w:r>
        <w:t>”  In turn, “</w:t>
      </w:r>
      <w:r w:rsidRPr="00EB23E8">
        <w:t>Upon receipt of these reports, the Commission will consider if further action in this docket or separate proceedings is appropriate.</w:t>
      </w:r>
      <w:r>
        <w:t>”</w:t>
      </w:r>
    </w:p>
    <w:p w14:paraId="7DB40856" w14:textId="707C6436" w:rsidR="00C35FFC" w:rsidRDefault="00C35FFC" w:rsidP="00C35FFC">
      <w:pPr>
        <w:pStyle w:val="PPtext"/>
      </w:pPr>
      <w:r>
        <w:t xml:space="preserve">The PRC neither established a procedural schedule for the docket nor set a deadline by which the </w:t>
      </w:r>
      <w:proofErr w:type="gramStart"/>
      <w:r>
        <w:t>aforementioned reports</w:t>
      </w:r>
      <w:proofErr w:type="gramEnd"/>
      <w:r>
        <w:t xml:space="preserve"> were due.</w:t>
      </w:r>
      <w:r w:rsidR="00FE7654">
        <w:t xml:space="preserve">  </w:t>
      </w:r>
      <w:r>
        <w:t xml:space="preserve">However, the commission clearly expects that its “investigator” will gather a wide range of information, noting </w:t>
      </w:r>
      <w:proofErr w:type="gramStart"/>
      <w:r>
        <w:t>that</w:t>
      </w:r>
      <w:proofErr w:type="gramEnd"/>
    </w:p>
    <w:p w14:paraId="7EB0BCD4" w14:textId="77777777" w:rsidR="00C35FFC" w:rsidRDefault="00C35FFC" w:rsidP="00C35FFC">
      <w:pPr>
        <w:pStyle w:val="PPquote"/>
      </w:pPr>
      <w:r>
        <w:t>“</w:t>
      </w:r>
      <w:r w:rsidRPr="00B83E4D">
        <w:t>In addition to consideration of 39 U</w:t>
      </w:r>
      <w:r>
        <w:t>SC</w:t>
      </w:r>
      <w:r w:rsidRPr="00B83E4D">
        <w:t xml:space="preserve"> 403(c) and 3642, the underlying regulations, Commission precedent, the record of Docket No. CP2024-72, and the disaggregated costs the Postal Service has been directed to file within 90 days, the Commission anticipates that </w:t>
      </w:r>
      <w:r w:rsidRPr="007C5EC1">
        <w:rPr>
          <w:shd w:val="clear" w:color="auto" w:fill="F5E9CC" w:themeFill="background2" w:themeFillTint="33"/>
        </w:rPr>
        <w:t>the presiding officer may need additional information from the Postal Service</w:t>
      </w:r>
      <w:r w:rsidRPr="00B83E4D">
        <w:t xml:space="preserve"> prior to conducting analysis and reaching any conclusions and </w:t>
      </w:r>
      <w:r w:rsidRPr="007C5EC1">
        <w:rPr>
          <w:shd w:val="clear" w:color="auto" w:fill="F5E9CC" w:themeFill="background2" w:themeFillTint="33"/>
        </w:rPr>
        <w:t>expects him to issue presiding officer information requests as he deems appropriate to gather such information</w:t>
      </w:r>
      <w:r w:rsidRPr="00B83E4D">
        <w:t>.</w:t>
      </w:r>
      <w:r>
        <w:t>”</w:t>
      </w:r>
    </w:p>
    <w:p w14:paraId="5D491F4E" w14:textId="77777777" w:rsidR="00C35FFC" w:rsidRDefault="00C35FFC" w:rsidP="00C35FFC">
      <w:pPr>
        <w:pStyle w:val="PPtext"/>
        <w:spacing w:before="70"/>
      </w:pPr>
      <w:r>
        <w:t>The mandate to dig as deep as needed is obvious.</w:t>
      </w:r>
    </w:p>
    <w:p w14:paraId="217221E3" w14:textId="0CFD72AE" w:rsidR="005E740C" w:rsidRDefault="00C35FFC" w:rsidP="00976481">
      <w:pPr>
        <w:pStyle w:val="PPtext"/>
        <w:spacing w:before="70"/>
      </w:pPr>
      <w:r>
        <w:t>Given the breadth of activity related to the Postal Service’s Zone 10 proposal, it’s yet to be seen whether it will deter the agency’s leadership from implementing it as planned.</w:t>
      </w:r>
    </w:p>
    <w:p w14:paraId="3F5B8811" w14:textId="68400D47" w:rsidR="00BD5413" w:rsidRPr="008C1BFA" w:rsidRDefault="00976481" w:rsidP="008C1BFA">
      <w:pPr>
        <w:pStyle w:val="PPSub"/>
      </w:pPr>
      <w:r w:rsidRPr="008C1BFA">
        <w:t>USPS Files Annual Appropriation Request</w:t>
      </w:r>
    </w:p>
    <w:p w14:paraId="303C38A0" w14:textId="77777777" w:rsidR="008B3E18" w:rsidRDefault="008B3E18" w:rsidP="008C1BFA">
      <w:pPr>
        <w:pStyle w:val="PPtext"/>
      </w:pPr>
      <w:r>
        <w:t xml:space="preserve">On March 11, the Postal Service filed its </w:t>
      </w:r>
      <w:r w:rsidRPr="00FB0A0E">
        <w:rPr>
          <w:i/>
          <w:iCs/>
        </w:rPr>
        <w:t>Fiscal Year 2025 Budget Congressional Submission</w:t>
      </w:r>
      <w:r>
        <w:rPr>
          <w:i/>
          <w:iCs/>
        </w:rPr>
        <w:t xml:space="preserve"> </w:t>
      </w:r>
      <w:r>
        <w:t xml:space="preserve">detailing the purposes and amounts for which it was seeking direct funding from the US Treasury.  At the opening of the 31-page document, the USPS listed the areas for which </w:t>
      </w:r>
      <w:proofErr w:type="gramStart"/>
      <w:r>
        <w:t>is</w:t>
      </w:r>
      <w:proofErr w:type="gramEnd"/>
      <w:r>
        <w:t xml:space="preserve"> was (or could be) seeking appropriations from Congress:</w:t>
      </w:r>
    </w:p>
    <w:p w14:paraId="11552DC4" w14:textId="77777777" w:rsidR="008B3E18" w:rsidRDefault="008B3E18" w:rsidP="008B3E18">
      <w:pPr>
        <w:pStyle w:val="PPlist"/>
        <w:numPr>
          <w:ilvl w:val="0"/>
          <w:numId w:val="24"/>
        </w:numPr>
        <w:spacing w:before="60"/>
        <w:ind w:left="144" w:hanging="144"/>
      </w:pPr>
      <w:r>
        <w:rPr>
          <w:b/>
        </w:rPr>
        <w:t>“</w:t>
      </w:r>
      <w:r w:rsidRPr="00623C98">
        <w:rPr>
          <w:b/>
        </w:rPr>
        <w:t>Revenue Forgone.</w:t>
      </w:r>
      <w:r>
        <w:t xml:space="preserve">  The Postal Service requests funding in Fiscal Year 2025 for revenue forgone on free mail for the blind and overseas voting, plus reconciliation amounts for past years, consistent with 39 USC §2401(c).</w:t>
      </w:r>
    </w:p>
    <w:p w14:paraId="0BC9714D" w14:textId="77777777" w:rsidR="008B3E18" w:rsidRDefault="008B3E18" w:rsidP="008B3E18">
      <w:pPr>
        <w:pStyle w:val="PPlist"/>
        <w:numPr>
          <w:ilvl w:val="0"/>
          <w:numId w:val="24"/>
        </w:numPr>
        <w:spacing w:before="60"/>
        <w:ind w:left="144" w:hanging="144"/>
      </w:pPr>
      <w:r>
        <w:rPr>
          <w:b/>
        </w:rPr>
        <w:t>“</w:t>
      </w:r>
      <w:r w:rsidRPr="00623C98">
        <w:rPr>
          <w:b/>
        </w:rPr>
        <w:t>Revenue Forgone Reform Reimbursement.</w:t>
      </w:r>
      <w:r>
        <w:t xml:space="preserve">  The Postal Service requests funding authorized under 39 USC §2401(d) as reimbursement for losses incurred </w:t>
      </w:r>
      <w:proofErr w:type="gramStart"/>
      <w:r>
        <w:t>as a result of</w:t>
      </w:r>
      <w:proofErr w:type="gramEnd"/>
      <w:r>
        <w:t xml:space="preserve"> insufficient appropriations in Fiscal Years 1991 through 1993, and to compensate for revenues not received as a result of the rate phasing provisions of 39 USC §3626(a)(3)(B), as last in effect before enactment of the Postal Accountability and Enhancement Act.</w:t>
      </w:r>
    </w:p>
    <w:p w14:paraId="4A0C5A2F" w14:textId="77777777" w:rsidR="008B3E18" w:rsidRDefault="008B3E18" w:rsidP="008B3E18">
      <w:pPr>
        <w:pStyle w:val="PPlist"/>
        <w:numPr>
          <w:ilvl w:val="0"/>
          <w:numId w:val="24"/>
        </w:numPr>
        <w:spacing w:before="60"/>
        <w:ind w:left="144" w:hanging="144"/>
      </w:pPr>
      <w:r>
        <w:rPr>
          <w:b/>
        </w:rPr>
        <w:t>“</w:t>
      </w:r>
      <w:r w:rsidRPr="00623C98">
        <w:rPr>
          <w:b/>
        </w:rPr>
        <w:t>Public Service Costs.</w:t>
      </w:r>
      <w:r>
        <w:t xml:space="preserve">  For public service costs, 39 USC §2401(b)(1)(G) authorizes, for years after Fiscal Year 1984, an amount equal to 5 percent of the Post Office Department’s Fiscal Year 1971 appropriation.  This amounts to $460,000,000, however section 2401(b)(2) authorizes the Postal Service to reduce such percentage, including a reduction to zero.”</w:t>
      </w:r>
    </w:p>
    <w:p w14:paraId="56EC944A" w14:textId="77777777" w:rsidR="008B3E18" w:rsidRDefault="008B3E18" w:rsidP="008B3E18">
      <w:pPr>
        <w:pStyle w:val="PPtext"/>
      </w:pPr>
      <w:r>
        <w:t>If Postmaster General Louis DeJoy’s aggressive pursuit of postage revenue is any reflection of the Postal Service’s financial condition, the agency’s note regarding the third basis for seeking an appropriation is more than ironic:</w:t>
      </w:r>
    </w:p>
    <w:p w14:paraId="6B51E9EC" w14:textId="4D01C535" w:rsidR="00F93D42" w:rsidRDefault="008B3E18" w:rsidP="008C1BFA">
      <w:pPr>
        <w:pStyle w:val="PPquote"/>
      </w:pPr>
      <w:r>
        <w:t xml:space="preserve">“The Postal Service has operated without this appropriation since Fiscal Year 1982, therefore, </w:t>
      </w:r>
      <w:r w:rsidRPr="00BD0D58">
        <w:rPr>
          <w:shd w:val="clear" w:color="auto" w:fill="F5E9CC" w:themeFill="background2" w:themeFillTint="33"/>
        </w:rPr>
        <w:t>no appropriation for public service costs is requested during Fiscal Year 2025</w:t>
      </w:r>
      <w:r>
        <w:t>.”</w:t>
      </w:r>
    </w:p>
    <w:p w14:paraId="68573759" w14:textId="77777777" w:rsidR="00241901" w:rsidRDefault="00241901" w:rsidP="00241901">
      <w:pPr>
        <w:pStyle w:val="PPtext"/>
        <w:spacing w:before="60"/>
      </w:pPr>
      <w:r>
        <w:t>The common supposition has been that the USPS wants both to avoid the strings that Congress might attach to a public service appropriation, and to continue being able to accurately claim that it “</w:t>
      </w:r>
      <w:r w:rsidRPr="004360FE">
        <w:t>generally receives no tax dollars for operating expenses</w:t>
      </w:r>
      <w:r>
        <w:t xml:space="preserve">.”  However, this policy has caused it to forego $19.78 </w:t>
      </w:r>
      <w:r>
        <w:rPr>
          <w:i/>
          <w:iCs/>
        </w:rPr>
        <w:t>billion</w:t>
      </w:r>
      <w:r>
        <w:t xml:space="preserve"> over the 43 years it has been invoked.  Allowing for inflation over that period, the actual total would be much greater.  (The $460 million in 1982 is equal to over $1.5 billion today.)</w:t>
      </w:r>
    </w:p>
    <w:p w14:paraId="58D3E3B3" w14:textId="33C59AE0" w:rsidR="008B3E18" w:rsidRDefault="00241901" w:rsidP="00241901">
      <w:pPr>
        <w:pStyle w:val="PPtext"/>
        <w:spacing w:before="60"/>
      </w:pPr>
      <w:r>
        <w:t>A 1993 act provided $29 million annually from 1994-2035 to repay the “revenue forgone” not paid from 1991 through 1993, but those payments weren’t made, either.  The total “in arrears,” i.e., that Congress owes the USPS, is now over $336 million; it’s unlikely they’ll pay up this year, either.</w:t>
      </w:r>
    </w:p>
    <w:p w14:paraId="66AED070" w14:textId="326A0CBA" w:rsidR="00803C55" w:rsidRDefault="00F93D42" w:rsidP="006B11B0">
      <w:pPr>
        <w:pStyle w:val="PPtext"/>
      </w:pPr>
      <w:r>
        <w:t>.</w:t>
      </w:r>
    </w:p>
    <w:p w14:paraId="6F06C003" w14:textId="4CE4B764" w:rsidR="008C4046" w:rsidRDefault="008C4046" w:rsidP="008C7E7C">
      <w:pPr>
        <w:pStyle w:val="PPtext"/>
        <w:spacing w:line="216" w:lineRule="exact"/>
      </w:pPr>
    </w:p>
    <w:p w14:paraId="5A230054" w14:textId="77777777" w:rsidR="00332093" w:rsidRPr="00134CD7" w:rsidRDefault="00332093" w:rsidP="000F0086">
      <w:pPr>
        <w:pStyle w:val="PPtext"/>
      </w:pPr>
    </w:p>
    <w:p w14:paraId="7B26B14D" w14:textId="682165BD" w:rsidR="00B61CF4" w:rsidRPr="00CC50A9" w:rsidRDefault="00B9000F" w:rsidP="00F4630D">
      <w:pPr>
        <w:pBdr>
          <w:top w:val="single" w:sz="4" w:space="4" w:color="165788" w:themeColor="text1"/>
          <w:left w:val="single" w:sz="4" w:space="4" w:color="165788" w:themeColor="text1"/>
          <w:bottom w:val="single" w:sz="4" w:space="4" w:color="165788" w:themeColor="text1"/>
          <w:right w:val="single" w:sz="4" w:space="4" w:color="165788" w:themeColor="text1"/>
        </w:pBdr>
        <w:spacing w:after="80" w:line="180" w:lineRule="exact"/>
        <w:rPr>
          <w:color w:val="165788" w:themeColor="text1"/>
          <w:sz w:val="16"/>
          <w:szCs w:val="16"/>
        </w:rPr>
      </w:pPr>
      <w:r w:rsidRPr="00B9000F">
        <w:rPr>
          <w:bCs/>
          <w:i/>
          <w:color w:val="165788" w:themeColor="text1"/>
          <w:sz w:val="16"/>
          <w:szCs w:val="16"/>
        </w:rPr>
        <w:t xml:space="preserve">Mailers Hub </w:t>
      </w:r>
      <w:proofErr w:type="spellStart"/>
      <w:r w:rsidRPr="00B9000F">
        <w:rPr>
          <w:bCs/>
          <w:i/>
          <w:color w:val="165788" w:themeColor="text1"/>
          <w:sz w:val="16"/>
          <w:szCs w:val="16"/>
        </w:rPr>
        <w:t>News</w:t>
      </w:r>
      <w:r w:rsidRPr="00B9000F">
        <w:rPr>
          <w:color w:val="165788" w:themeColor="text1"/>
          <w:sz w:val="16"/>
          <w:szCs w:val="16"/>
          <w:vertAlign w:val="superscript"/>
        </w:rPr>
        <w:t>TM</w:t>
      </w:r>
      <w:proofErr w:type="spellEnd"/>
      <w:r w:rsidRPr="00B9000F">
        <w:rPr>
          <w:bCs/>
          <w:color w:val="165788" w:themeColor="text1"/>
          <w:sz w:val="16"/>
          <w:szCs w:val="16"/>
        </w:rPr>
        <w:t xml:space="preserve"> </w:t>
      </w:r>
      <w:r>
        <w:rPr>
          <w:bCs/>
          <w:color w:val="165788" w:themeColor="text1"/>
          <w:sz w:val="16"/>
          <w:szCs w:val="16"/>
        </w:rPr>
        <w:t>and this summary are</w:t>
      </w:r>
      <w:r w:rsidRPr="00B9000F">
        <w:rPr>
          <w:bCs/>
          <w:color w:val="165788" w:themeColor="text1"/>
          <w:sz w:val="16"/>
          <w:szCs w:val="16"/>
        </w:rPr>
        <w:t xml:space="preserve"> produced by Mailers Hub LLC and provided to subscribers as part of their subscription.</w:t>
      </w:r>
      <w:r>
        <w:rPr>
          <w:bCs/>
          <w:color w:val="165788" w:themeColor="text1"/>
          <w:sz w:val="16"/>
          <w:szCs w:val="16"/>
        </w:rPr>
        <w:t xml:space="preserve">  </w:t>
      </w:r>
      <w:r w:rsidRPr="00B9000F">
        <w:rPr>
          <w:bCs/>
          <w:color w:val="165788" w:themeColor="text1"/>
          <w:sz w:val="16"/>
          <w:szCs w:val="16"/>
        </w:rPr>
        <w:t xml:space="preserve">No part of </w:t>
      </w:r>
      <w:r w:rsidRPr="00B9000F">
        <w:rPr>
          <w:bCs/>
          <w:i/>
          <w:color w:val="165788" w:themeColor="text1"/>
          <w:sz w:val="16"/>
          <w:szCs w:val="16"/>
        </w:rPr>
        <w:t>Mailers Hub News</w:t>
      </w:r>
      <w:r w:rsidRPr="00B9000F">
        <w:rPr>
          <w:bCs/>
          <w:color w:val="165788" w:themeColor="text1"/>
          <w:sz w:val="16"/>
          <w:szCs w:val="16"/>
        </w:rPr>
        <w:t xml:space="preserve"> </w:t>
      </w:r>
      <w:r>
        <w:rPr>
          <w:bCs/>
          <w:color w:val="165788" w:themeColor="text1"/>
          <w:sz w:val="16"/>
          <w:szCs w:val="16"/>
        </w:rPr>
        <w:t xml:space="preserve">or this summary </w:t>
      </w:r>
      <w:r w:rsidRPr="00B9000F">
        <w:rPr>
          <w:bCs/>
          <w:color w:val="165788" w:themeColor="text1"/>
          <w:sz w:val="16"/>
          <w:szCs w:val="16"/>
        </w:rPr>
        <w:t>may be reproduced or redistributed without the express consent of Mailers Hub LLC.  Copyright © 2016-202</w:t>
      </w:r>
      <w:r w:rsidR="00383BF5">
        <w:rPr>
          <w:bCs/>
          <w:color w:val="165788" w:themeColor="text1"/>
          <w:sz w:val="16"/>
          <w:szCs w:val="16"/>
        </w:rPr>
        <w:t>4</w:t>
      </w:r>
      <w:r w:rsidRPr="00B9000F">
        <w:rPr>
          <w:bCs/>
          <w:color w:val="165788" w:themeColor="text1"/>
          <w:sz w:val="16"/>
          <w:szCs w:val="16"/>
        </w:rPr>
        <w:t xml:space="preserve"> Mailers Hub LLC.  All rights reserved.</w:t>
      </w:r>
    </w:p>
    <w:sectPr w:rsidR="00B61CF4" w:rsidRPr="00CC50A9" w:rsidSect="004A77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rriweather Black">
    <w:panose1 w:val="00000A00000000000000"/>
    <w:charset w:val="4D"/>
    <w:family w:val="auto"/>
    <w:pitch w:val="variable"/>
    <w:sig w:usb0="20000207" w:usb1="00000002"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1C745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7E095B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622F5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862F9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7E2D9C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78159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3456F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C6EF5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BE97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1FC90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DF703E"/>
    <w:multiLevelType w:val="hybridMultilevel"/>
    <w:tmpl w:val="7DF0D46E"/>
    <w:lvl w:ilvl="0" w:tplc="2AB6E82E">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1" w15:restartNumberingAfterBreak="0">
    <w:nsid w:val="10316001"/>
    <w:multiLevelType w:val="hybridMultilevel"/>
    <w:tmpl w:val="C7C8B9D6"/>
    <w:lvl w:ilvl="0" w:tplc="4C0A7F9C">
      <w:start w:val="1"/>
      <w:numFmt w:val="bullet"/>
      <w:lvlText w:val=""/>
      <w:lvlJc w:val="left"/>
      <w:pPr>
        <w:ind w:left="360" w:hanging="360"/>
      </w:pPr>
      <w:rPr>
        <w:rFonts w:ascii="Symbol" w:hAnsi="Symbol" w:hint="default"/>
        <w:b w:val="0"/>
        <w:bCs w:val="0"/>
        <w:i w:val="0"/>
        <w:iCs w:val="0"/>
        <w:caps w:val="0"/>
        <w:strike w:val="0"/>
        <w:dstrike w:val="0"/>
        <w:vanish w:val="0"/>
        <w:color w:val="000000"/>
        <w:sz w:val="18"/>
        <w:szCs w:val="18"/>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427AA5"/>
    <w:multiLevelType w:val="hybridMultilevel"/>
    <w:tmpl w:val="B616FD82"/>
    <w:lvl w:ilvl="0" w:tplc="6B6EF79E">
      <w:start w:val="1"/>
      <w:numFmt w:val="bullet"/>
      <w:pStyle w:val="PP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175A6D"/>
    <w:multiLevelType w:val="multilevel"/>
    <w:tmpl w:val="04090023"/>
    <w:styleLink w:val="1ai91031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90C1C1E"/>
    <w:multiLevelType w:val="hybridMultilevel"/>
    <w:tmpl w:val="803CFE9C"/>
    <w:lvl w:ilvl="0" w:tplc="689EFA8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7D0F5F"/>
    <w:multiLevelType w:val="hybridMultilevel"/>
    <w:tmpl w:val="B26AF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852A5C"/>
    <w:multiLevelType w:val="multilevel"/>
    <w:tmpl w:val="772C60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8BA389B"/>
    <w:multiLevelType w:val="hybridMultilevel"/>
    <w:tmpl w:val="876CB37C"/>
    <w:lvl w:ilvl="0" w:tplc="CD2E024C">
      <w:start w:val="1"/>
      <w:numFmt w:val="bullet"/>
      <w:lvlText w:val=""/>
      <w:lvlJc w:val="left"/>
      <w:pPr>
        <w:ind w:left="360" w:hanging="360"/>
      </w:pPr>
      <w:rPr>
        <w:rFonts w:ascii="Symbol" w:hAnsi="Symbol" w:hint="default"/>
        <w:b w:val="0"/>
        <w:bCs w:val="0"/>
        <w:i w:val="0"/>
        <w:iCs w:val="0"/>
        <w:caps w:val="0"/>
        <w:strike w:val="0"/>
        <w:dstrike w:val="0"/>
        <w:vanish w:val="0"/>
        <w:color w:val="000000"/>
        <w:w w:val="100"/>
        <w:sz w:val="18"/>
        <w:szCs w:val="18"/>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FE3F1D"/>
    <w:multiLevelType w:val="hybridMultilevel"/>
    <w:tmpl w:val="E4CE3C60"/>
    <w:lvl w:ilvl="0" w:tplc="70DABE08">
      <w:start w:val="1"/>
      <w:numFmt w:val="bullet"/>
      <w:pStyle w:val="PPlist2ndlevel"/>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A430D5"/>
    <w:multiLevelType w:val="hybridMultilevel"/>
    <w:tmpl w:val="517EAF64"/>
    <w:lvl w:ilvl="0" w:tplc="8F286D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4A13D0"/>
    <w:multiLevelType w:val="multilevel"/>
    <w:tmpl w:val="1748837E"/>
    <w:lvl w:ilvl="0">
      <w:start w:val="1"/>
      <w:numFmt w:val="bullet"/>
      <w:pStyle w:val="Heading1"/>
      <w:lvlText w:val=""/>
      <w:lvlJc w:val="left"/>
      <w:pPr>
        <w:tabs>
          <w:tab w:val="num" w:pos="720"/>
        </w:tabs>
        <w:ind w:left="720" w:hanging="360"/>
      </w:pPr>
      <w:rPr>
        <w:rFonts w:ascii="Symbol" w:hAnsi="Symbol" w:hint="default"/>
        <w:sz w:val="20"/>
      </w:rPr>
    </w:lvl>
    <w:lvl w:ilvl="1">
      <w:start w:val="1"/>
      <w:numFmt w:val="bullet"/>
      <w:pStyle w:val="Heading2"/>
      <w:lvlText w:val=""/>
      <w:lvlJc w:val="left"/>
      <w:pPr>
        <w:tabs>
          <w:tab w:val="num" w:pos="1440"/>
        </w:tabs>
        <w:ind w:left="1440" w:hanging="360"/>
      </w:pPr>
      <w:rPr>
        <w:rFonts w:ascii="Symbol" w:hAnsi="Symbol" w:hint="default"/>
        <w:sz w:val="20"/>
      </w:rPr>
    </w:lvl>
    <w:lvl w:ilvl="2">
      <w:start w:val="1"/>
      <w:numFmt w:val="bullet"/>
      <w:pStyle w:val="Heading3"/>
      <w:lvlText w:val=""/>
      <w:lvlJc w:val="left"/>
      <w:pPr>
        <w:tabs>
          <w:tab w:val="num" w:pos="2160"/>
        </w:tabs>
        <w:ind w:left="2160" w:hanging="360"/>
      </w:pPr>
      <w:rPr>
        <w:rFonts w:ascii="Symbol" w:hAnsi="Symbol" w:hint="default"/>
        <w:sz w:val="20"/>
      </w:rPr>
    </w:lvl>
    <w:lvl w:ilvl="3">
      <w:start w:val="1"/>
      <w:numFmt w:val="bullet"/>
      <w:pStyle w:val="Heading4"/>
      <w:lvlText w:val=""/>
      <w:lvlJc w:val="left"/>
      <w:pPr>
        <w:tabs>
          <w:tab w:val="num" w:pos="2880"/>
        </w:tabs>
        <w:ind w:left="2880" w:hanging="360"/>
      </w:pPr>
      <w:rPr>
        <w:rFonts w:ascii="Symbol" w:hAnsi="Symbol" w:hint="default"/>
        <w:sz w:val="20"/>
      </w:rPr>
    </w:lvl>
    <w:lvl w:ilvl="4">
      <w:start w:val="1"/>
      <w:numFmt w:val="bullet"/>
      <w:pStyle w:val="Heading5"/>
      <w:lvlText w:val=""/>
      <w:lvlJc w:val="left"/>
      <w:pPr>
        <w:tabs>
          <w:tab w:val="num" w:pos="3600"/>
        </w:tabs>
        <w:ind w:left="3600" w:hanging="360"/>
      </w:pPr>
      <w:rPr>
        <w:rFonts w:ascii="Symbol" w:hAnsi="Symbol" w:hint="default"/>
        <w:sz w:val="20"/>
      </w:rPr>
    </w:lvl>
    <w:lvl w:ilvl="5" w:tentative="1">
      <w:start w:val="1"/>
      <w:numFmt w:val="bullet"/>
      <w:pStyle w:val="Heading6"/>
      <w:lvlText w:val=""/>
      <w:lvlJc w:val="left"/>
      <w:pPr>
        <w:tabs>
          <w:tab w:val="num" w:pos="4320"/>
        </w:tabs>
        <w:ind w:left="4320" w:hanging="360"/>
      </w:pPr>
      <w:rPr>
        <w:rFonts w:ascii="Symbol" w:hAnsi="Symbol" w:hint="default"/>
        <w:sz w:val="20"/>
      </w:rPr>
    </w:lvl>
    <w:lvl w:ilvl="6" w:tentative="1">
      <w:start w:val="1"/>
      <w:numFmt w:val="bullet"/>
      <w:pStyle w:val="Heading7"/>
      <w:lvlText w:val=""/>
      <w:lvlJc w:val="left"/>
      <w:pPr>
        <w:tabs>
          <w:tab w:val="num" w:pos="5040"/>
        </w:tabs>
        <w:ind w:left="5040" w:hanging="360"/>
      </w:pPr>
      <w:rPr>
        <w:rFonts w:ascii="Symbol" w:hAnsi="Symbol" w:hint="default"/>
        <w:sz w:val="20"/>
      </w:rPr>
    </w:lvl>
    <w:lvl w:ilvl="7">
      <w:start w:val="1"/>
      <w:numFmt w:val="bullet"/>
      <w:pStyle w:val="Heading8"/>
      <w:lvlText w:val=""/>
      <w:lvlJc w:val="left"/>
      <w:pPr>
        <w:tabs>
          <w:tab w:val="num" w:pos="5760"/>
        </w:tabs>
        <w:ind w:left="5760" w:hanging="360"/>
      </w:pPr>
      <w:rPr>
        <w:rFonts w:ascii="Symbol" w:hAnsi="Symbol" w:hint="default"/>
        <w:sz w:val="20"/>
      </w:rPr>
    </w:lvl>
    <w:lvl w:ilvl="8" w:tentative="1">
      <w:start w:val="1"/>
      <w:numFmt w:val="bullet"/>
      <w:pStyle w:val="Heading9"/>
      <w:lvlText w:val=""/>
      <w:lvlJc w:val="left"/>
      <w:pPr>
        <w:tabs>
          <w:tab w:val="num" w:pos="6480"/>
        </w:tabs>
        <w:ind w:left="6480" w:hanging="360"/>
      </w:pPr>
      <w:rPr>
        <w:rFonts w:ascii="Symbol" w:hAnsi="Symbol" w:hint="default"/>
        <w:sz w:val="20"/>
      </w:rPr>
    </w:lvl>
  </w:abstractNum>
  <w:num w:numId="1" w16cid:durableId="1903170778">
    <w:abstractNumId w:val="12"/>
  </w:num>
  <w:num w:numId="2" w16cid:durableId="52312905">
    <w:abstractNumId w:val="9"/>
  </w:num>
  <w:num w:numId="3" w16cid:durableId="1105274927">
    <w:abstractNumId w:val="7"/>
  </w:num>
  <w:num w:numId="4" w16cid:durableId="1993557815">
    <w:abstractNumId w:val="6"/>
  </w:num>
  <w:num w:numId="5" w16cid:durableId="1062826968">
    <w:abstractNumId w:val="5"/>
  </w:num>
  <w:num w:numId="6" w16cid:durableId="1589804339">
    <w:abstractNumId w:val="4"/>
  </w:num>
  <w:num w:numId="7" w16cid:durableId="1873105912">
    <w:abstractNumId w:val="8"/>
  </w:num>
  <w:num w:numId="8" w16cid:durableId="1260455146">
    <w:abstractNumId w:val="3"/>
  </w:num>
  <w:num w:numId="9" w16cid:durableId="1089741036">
    <w:abstractNumId w:val="2"/>
  </w:num>
  <w:num w:numId="10" w16cid:durableId="1642805016">
    <w:abstractNumId w:val="1"/>
  </w:num>
  <w:num w:numId="11" w16cid:durableId="1533230432">
    <w:abstractNumId w:val="0"/>
  </w:num>
  <w:num w:numId="12" w16cid:durableId="1841702237">
    <w:abstractNumId w:val="15"/>
  </w:num>
  <w:num w:numId="13" w16cid:durableId="336077990">
    <w:abstractNumId w:val="19"/>
  </w:num>
  <w:num w:numId="14" w16cid:durableId="1141651789">
    <w:abstractNumId w:val="19"/>
  </w:num>
  <w:num w:numId="15" w16cid:durableId="626813926">
    <w:abstractNumId w:val="11"/>
    <w:lvlOverride w:ilvl="0">
      <w:lvl w:ilvl="0" w:tplc="4C0A7F9C">
        <w:start w:val="1"/>
        <w:numFmt w:val="bullet"/>
        <w:lvlText w:val=""/>
        <w:lvlJc w:val="left"/>
        <w:pPr>
          <w:ind w:left="360" w:hanging="360"/>
        </w:pPr>
        <w:rPr>
          <w:rFonts w:ascii="Symbol" w:hAnsi="Symbol" w:hint="default"/>
          <w:b w:val="0"/>
          <w:bCs w:val="0"/>
          <w:i w:val="0"/>
          <w:iCs w:val="0"/>
          <w:caps w:val="0"/>
          <w:strike w:val="0"/>
          <w:dstrike w:val="0"/>
          <w:vanish w:val="0"/>
          <w:color w:val="000000"/>
          <w:sz w:val="18"/>
          <w:szCs w:val="18"/>
          <w:vertAlign w:val="baseline"/>
        </w:rPr>
      </w:lvl>
    </w:lvlOverride>
  </w:num>
  <w:num w:numId="16" w16cid:durableId="1927104844">
    <w:abstractNumId w:val="20"/>
  </w:num>
  <w:num w:numId="17" w16cid:durableId="1004209587">
    <w:abstractNumId w:val="18"/>
  </w:num>
  <w:num w:numId="18" w16cid:durableId="2085760495">
    <w:abstractNumId w:val="13"/>
  </w:num>
  <w:num w:numId="19" w16cid:durableId="700975855">
    <w:abstractNumId w:val="11"/>
    <w:lvlOverride w:ilvl="0">
      <w:lvl w:ilvl="0" w:tplc="4C0A7F9C">
        <w:start w:val="1"/>
        <w:numFmt w:val="bullet"/>
        <w:lvlText w:val=""/>
        <w:lvlJc w:val="left"/>
        <w:pPr>
          <w:ind w:left="360" w:hanging="360"/>
        </w:pPr>
        <w:rPr>
          <w:rFonts w:ascii="Symbol" w:hAnsi="Symbol" w:hint="default"/>
          <w:b w:val="0"/>
          <w:bCs w:val="0"/>
          <w:i w:val="0"/>
          <w:iCs w:val="0"/>
          <w:caps w:val="0"/>
          <w:strike w:val="0"/>
          <w:dstrike w:val="0"/>
          <w:vanish w:val="0"/>
          <w:color w:val="000000"/>
          <w:sz w:val="18"/>
          <w:szCs w:val="18"/>
          <w:vertAlign w:val="baseline"/>
        </w:rPr>
      </w:lvl>
    </w:lvlOverride>
  </w:num>
  <w:num w:numId="20" w16cid:durableId="208302126">
    <w:abstractNumId w:val="17"/>
  </w:num>
  <w:num w:numId="21" w16cid:durableId="1868906089">
    <w:abstractNumId w:val="11"/>
  </w:num>
  <w:num w:numId="22" w16cid:durableId="1861161301">
    <w:abstractNumId w:val="16"/>
  </w:num>
  <w:num w:numId="23" w16cid:durableId="1613785044">
    <w:abstractNumId w:val="10"/>
  </w:num>
  <w:num w:numId="24" w16cid:durableId="12555536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28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52D"/>
    <w:rsid w:val="00002E76"/>
    <w:rsid w:val="000032BF"/>
    <w:rsid w:val="00005DEA"/>
    <w:rsid w:val="000068A4"/>
    <w:rsid w:val="000111E7"/>
    <w:rsid w:val="000127AD"/>
    <w:rsid w:val="00012F19"/>
    <w:rsid w:val="00015001"/>
    <w:rsid w:val="00016B6B"/>
    <w:rsid w:val="00017FA1"/>
    <w:rsid w:val="00023847"/>
    <w:rsid w:val="00025CFE"/>
    <w:rsid w:val="00027D83"/>
    <w:rsid w:val="0003138E"/>
    <w:rsid w:val="00031591"/>
    <w:rsid w:val="00032377"/>
    <w:rsid w:val="00036EFA"/>
    <w:rsid w:val="0003711D"/>
    <w:rsid w:val="0004147B"/>
    <w:rsid w:val="000421DE"/>
    <w:rsid w:val="00043B88"/>
    <w:rsid w:val="000508BF"/>
    <w:rsid w:val="00055E1F"/>
    <w:rsid w:val="00056004"/>
    <w:rsid w:val="00056065"/>
    <w:rsid w:val="00062B9D"/>
    <w:rsid w:val="000668BA"/>
    <w:rsid w:val="000673FC"/>
    <w:rsid w:val="000727FB"/>
    <w:rsid w:val="00072926"/>
    <w:rsid w:val="00074757"/>
    <w:rsid w:val="00077742"/>
    <w:rsid w:val="00083908"/>
    <w:rsid w:val="000906F5"/>
    <w:rsid w:val="00090E4B"/>
    <w:rsid w:val="0009141E"/>
    <w:rsid w:val="000918B1"/>
    <w:rsid w:val="00097D38"/>
    <w:rsid w:val="00097F4B"/>
    <w:rsid w:val="000A1764"/>
    <w:rsid w:val="000A2C3E"/>
    <w:rsid w:val="000A5810"/>
    <w:rsid w:val="000A7F87"/>
    <w:rsid w:val="000A7FC2"/>
    <w:rsid w:val="000B01FC"/>
    <w:rsid w:val="000B111D"/>
    <w:rsid w:val="000C7C16"/>
    <w:rsid w:val="000D36A0"/>
    <w:rsid w:val="000D57C5"/>
    <w:rsid w:val="000D5C5C"/>
    <w:rsid w:val="000E0D36"/>
    <w:rsid w:val="000E3014"/>
    <w:rsid w:val="000E5271"/>
    <w:rsid w:val="000E582A"/>
    <w:rsid w:val="000F0086"/>
    <w:rsid w:val="000F3F7A"/>
    <w:rsid w:val="001021C0"/>
    <w:rsid w:val="00102D25"/>
    <w:rsid w:val="001030E2"/>
    <w:rsid w:val="00110D95"/>
    <w:rsid w:val="001113C4"/>
    <w:rsid w:val="001124B6"/>
    <w:rsid w:val="00117146"/>
    <w:rsid w:val="00121F28"/>
    <w:rsid w:val="00124AAA"/>
    <w:rsid w:val="00125A82"/>
    <w:rsid w:val="001300B8"/>
    <w:rsid w:val="0013327C"/>
    <w:rsid w:val="00134CD7"/>
    <w:rsid w:val="00136ACF"/>
    <w:rsid w:val="00136F78"/>
    <w:rsid w:val="0013780A"/>
    <w:rsid w:val="001404C8"/>
    <w:rsid w:val="001431F3"/>
    <w:rsid w:val="00143B28"/>
    <w:rsid w:val="00143F31"/>
    <w:rsid w:val="00147CBD"/>
    <w:rsid w:val="00153A46"/>
    <w:rsid w:val="00154A23"/>
    <w:rsid w:val="00154AEA"/>
    <w:rsid w:val="00155909"/>
    <w:rsid w:val="00155B56"/>
    <w:rsid w:val="00156AC7"/>
    <w:rsid w:val="00161CB1"/>
    <w:rsid w:val="00162DBB"/>
    <w:rsid w:val="00166515"/>
    <w:rsid w:val="001673D9"/>
    <w:rsid w:val="00167432"/>
    <w:rsid w:val="00177399"/>
    <w:rsid w:val="001846DF"/>
    <w:rsid w:val="001855EB"/>
    <w:rsid w:val="00185739"/>
    <w:rsid w:val="00185F64"/>
    <w:rsid w:val="0018612B"/>
    <w:rsid w:val="0018696B"/>
    <w:rsid w:val="00190834"/>
    <w:rsid w:val="00191690"/>
    <w:rsid w:val="001916B9"/>
    <w:rsid w:val="00192C9A"/>
    <w:rsid w:val="001A0FFA"/>
    <w:rsid w:val="001A1896"/>
    <w:rsid w:val="001A3053"/>
    <w:rsid w:val="001B26D7"/>
    <w:rsid w:val="001B3E15"/>
    <w:rsid w:val="001B46D4"/>
    <w:rsid w:val="001C4D66"/>
    <w:rsid w:val="001D09FF"/>
    <w:rsid w:val="001D189F"/>
    <w:rsid w:val="001D3A82"/>
    <w:rsid w:val="001D56DD"/>
    <w:rsid w:val="001D6406"/>
    <w:rsid w:val="001D7021"/>
    <w:rsid w:val="001E0102"/>
    <w:rsid w:val="001E0D00"/>
    <w:rsid w:val="001E1337"/>
    <w:rsid w:val="001E581A"/>
    <w:rsid w:val="001E77B6"/>
    <w:rsid w:val="001F0E9E"/>
    <w:rsid w:val="001F3045"/>
    <w:rsid w:val="0020224C"/>
    <w:rsid w:val="002069DF"/>
    <w:rsid w:val="00213F6F"/>
    <w:rsid w:val="00215861"/>
    <w:rsid w:val="002160BF"/>
    <w:rsid w:val="00216F9D"/>
    <w:rsid w:val="0022321A"/>
    <w:rsid w:val="002272ED"/>
    <w:rsid w:val="00230C3B"/>
    <w:rsid w:val="0023219B"/>
    <w:rsid w:val="00232ED7"/>
    <w:rsid w:val="00235526"/>
    <w:rsid w:val="00235F5C"/>
    <w:rsid w:val="00235FF9"/>
    <w:rsid w:val="00241901"/>
    <w:rsid w:val="00245EAF"/>
    <w:rsid w:val="002475D6"/>
    <w:rsid w:val="0025180F"/>
    <w:rsid w:val="0025512B"/>
    <w:rsid w:val="0026089E"/>
    <w:rsid w:val="00260B4C"/>
    <w:rsid w:val="00270992"/>
    <w:rsid w:val="0027300D"/>
    <w:rsid w:val="002743D3"/>
    <w:rsid w:val="00276C12"/>
    <w:rsid w:val="00291363"/>
    <w:rsid w:val="002925A4"/>
    <w:rsid w:val="002940A0"/>
    <w:rsid w:val="00296922"/>
    <w:rsid w:val="002971F5"/>
    <w:rsid w:val="002977B9"/>
    <w:rsid w:val="00297E90"/>
    <w:rsid w:val="002A0E96"/>
    <w:rsid w:val="002A23A3"/>
    <w:rsid w:val="002A6795"/>
    <w:rsid w:val="002A74C1"/>
    <w:rsid w:val="002B0180"/>
    <w:rsid w:val="002B115A"/>
    <w:rsid w:val="002B54C0"/>
    <w:rsid w:val="002C6997"/>
    <w:rsid w:val="002D0986"/>
    <w:rsid w:val="002D0E29"/>
    <w:rsid w:val="002D2309"/>
    <w:rsid w:val="002D68AE"/>
    <w:rsid w:val="002E194C"/>
    <w:rsid w:val="002E4B4E"/>
    <w:rsid w:val="002E669B"/>
    <w:rsid w:val="002F0CC9"/>
    <w:rsid w:val="002F1305"/>
    <w:rsid w:val="002F1EAF"/>
    <w:rsid w:val="002F2605"/>
    <w:rsid w:val="002F3853"/>
    <w:rsid w:val="003002D2"/>
    <w:rsid w:val="003038CE"/>
    <w:rsid w:val="00306353"/>
    <w:rsid w:val="00311009"/>
    <w:rsid w:val="00312B08"/>
    <w:rsid w:val="003142A7"/>
    <w:rsid w:val="00317456"/>
    <w:rsid w:val="00320E6B"/>
    <w:rsid w:val="00326D7F"/>
    <w:rsid w:val="00332093"/>
    <w:rsid w:val="003331C7"/>
    <w:rsid w:val="003348F2"/>
    <w:rsid w:val="0033519E"/>
    <w:rsid w:val="0033594F"/>
    <w:rsid w:val="00337F0F"/>
    <w:rsid w:val="00346C15"/>
    <w:rsid w:val="0034745C"/>
    <w:rsid w:val="00347631"/>
    <w:rsid w:val="00347D64"/>
    <w:rsid w:val="00355B62"/>
    <w:rsid w:val="00355E5D"/>
    <w:rsid w:val="00357700"/>
    <w:rsid w:val="003610FF"/>
    <w:rsid w:val="00361EF8"/>
    <w:rsid w:val="003627E9"/>
    <w:rsid w:val="0036474B"/>
    <w:rsid w:val="00364CBF"/>
    <w:rsid w:val="003653A3"/>
    <w:rsid w:val="0036782F"/>
    <w:rsid w:val="00371300"/>
    <w:rsid w:val="00372297"/>
    <w:rsid w:val="0037492E"/>
    <w:rsid w:val="00377463"/>
    <w:rsid w:val="0037780D"/>
    <w:rsid w:val="00381A5E"/>
    <w:rsid w:val="00383646"/>
    <w:rsid w:val="00383BF5"/>
    <w:rsid w:val="00384CAF"/>
    <w:rsid w:val="00385A17"/>
    <w:rsid w:val="00385EE6"/>
    <w:rsid w:val="00391C06"/>
    <w:rsid w:val="003963B0"/>
    <w:rsid w:val="00396427"/>
    <w:rsid w:val="003A28FB"/>
    <w:rsid w:val="003B1186"/>
    <w:rsid w:val="003B46E8"/>
    <w:rsid w:val="003B46FF"/>
    <w:rsid w:val="003B7292"/>
    <w:rsid w:val="003B7300"/>
    <w:rsid w:val="003C1DF2"/>
    <w:rsid w:val="003C3CF0"/>
    <w:rsid w:val="003C474A"/>
    <w:rsid w:val="003C4DFA"/>
    <w:rsid w:val="003C504B"/>
    <w:rsid w:val="003C7CB1"/>
    <w:rsid w:val="003D1160"/>
    <w:rsid w:val="003D1762"/>
    <w:rsid w:val="003D2D21"/>
    <w:rsid w:val="003D4949"/>
    <w:rsid w:val="003D6DE6"/>
    <w:rsid w:val="003E0F3E"/>
    <w:rsid w:val="003E3C5F"/>
    <w:rsid w:val="003E67BA"/>
    <w:rsid w:val="003F11DC"/>
    <w:rsid w:val="00400F1C"/>
    <w:rsid w:val="004011B5"/>
    <w:rsid w:val="00403088"/>
    <w:rsid w:val="00404FA0"/>
    <w:rsid w:val="004077BF"/>
    <w:rsid w:val="00407BDB"/>
    <w:rsid w:val="00410D00"/>
    <w:rsid w:val="004116E0"/>
    <w:rsid w:val="004125EA"/>
    <w:rsid w:val="004161BC"/>
    <w:rsid w:val="004163E4"/>
    <w:rsid w:val="00416F59"/>
    <w:rsid w:val="00420F2C"/>
    <w:rsid w:val="00421132"/>
    <w:rsid w:val="00421A17"/>
    <w:rsid w:val="00425E76"/>
    <w:rsid w:val="004315CD"/>
    <w:rsid w:val="00432607"/>
    <w:rsid w:val="0044177F"/>
    <w:rsid w:val="00442B38"/>
    <w:rsid w:val="0044497E"/>
    <w:rsid w:val="00445F7C"/>
    <w:rsid w:val="00450BEC"/>
    <w:rsid w:val="00457694"/>
    <w:rsid w:val="004579DB"/>
    <w:rsid w:val="004623CC"/>
    <w:rsid w:val="00466421"/>
    <w:rsid w:val="00467E50"/>
    <w:rsid w:val="004712C2"/>
    <w:rsid w:val="004721B8"/>
    <w:rsid w:val="0047298D"/>
    <w:rsid w:val="00474BFD"/>
    <w:rsid w:val="0047797A"/>
    <w:rsid w:val="00481E9E"/>
    <w:rsid w:val="00482BC6"/>
    <w:rsid w:val="004837D6"/>
    <w:rsid w:val="00484675"/>
    <w:rsid w:val="00485AEC"/>
    <w:rsid w:val="00494BE3"/>
    <w:rsid w:val="004A1992"/>
    <w:rsid w:val="004A433D"/>
    <w:rsid w:val="004A515A"/>
    <w:rsid w:val="004A77A5"/>
    <w:rsid w:val="004B08A3"/>
    <w:rsid w:val="004B14DD"/>
    <w:rsid w:val="004B4A2F"/>
    <w:rsid w:val="004C16EF"/>
    <w:rsid w:val="004C29AE"/>
    <w:rsid w:val="004D0AF6"/>
    <w:rsid w:val="004D2119"/>
    <w:rsid w:val="004D3172"/>
    <w:rsid w:val="004D4524"/>
    <w:rsid w:val="004D5928"/>
    <w:rsid w:val="004D68E1"/>
    <w:rsid w:val="004E18E3"/>
    <w:rsid w:val="004F2DA0"/>
    <w:rsid w:val="004F5E13"/>
    <w:rsid w:val="004F6BBD"/>
    <w:rsid w:val="004F7D1D"/>
    <w:rsid w:val="005014A9"/>
    <w:rsid w:val="005043D0"/>
    <w:rsid w:val="0050710C"/>
    <w:rsid w:val="00512493"/>
    <w:rsid w:val="00513806"/>
    <w:rsid w:val="0051487A"/>
    <w:rsid w:val="00515337"/>
    <w:rsid w:val="005157DB"/>
    <w:rsid w:val="00525873"/>
    <w:rsid w:val="00526144"/>
    <w:rsid w:val="005302E8"/>
    <w:rsid w:val="0053046D"/>
    <w:rsid w:val="0053052A"/>
    <w:rsid w:val="005320A6"/>
    <w:rsid w:val="005321CE"/>
    <w:rsid w:val="00532F8E"/>
    <w:rsid w:val="00533906"/>
    <w:rsid w:val="00536CD7"/>
    <w:rsid w:val="005405B1"/>
    <w:rsid w:val="005422AA"/>
    <w:rsid w:val="00544DF1"/>
    <w:rsid w:val="0054602D"/>
    <w:rsid w:val="005464E5"/>
    <w:rsid w:val="00551915"/>
    <w:rsid w:val="005524D9"/>
    <w:rsid w:val="005533D1"/>
    <w:rsid w:val="005560EF"/>
    <w:rsid w:val="005615A7"/>
    <w:rsid w:val="00570907"/>
    <w:rsid w:val="00573594"/>
    <w:rsid w:val="00573AB6"/>
    <w:rsid w:val="00573BDC"/>
    <w:rsid w:val="005777D3"/>
    <w:rsid w:val="00581156"/>
    <w:rsid w:val="00581652"/>
    <w:rsid w:val="005819AF"/>
    <w:rsid w:val="00583E87"/>
    <w:rsid w:val="00584623"/>
    <w:rsid w:val="00585BE1"/>
    <w:rsid w:val="0059321F"/>
    <w:rsid w:val="005A004D"/>
    <w:rsid w:val="005A20EA"/>
    <w:rsid w:val="005A4507"/>
    <w:rsid w:val="005A6CBB"/>
    <w:rsid w:val="005B08E2"/>
    <w:rsid w:val="005B210F"/>
    <w:rsid w:val="005B36BD"/>
    <w:rsid w:val="005B39A8"/>
    <w:rsid w:val="005C46A3"/>
    <w:rsid w:val="005C5DFF"/>
    <w:rsid w:val="005C6136"/>
    <w:rsid w:val="005C6740"/>
    <w:rsid w:val="005C6D63"/>
    <w:rsid w:val="005C707A"/>
    <w:rsid w:val="005C75EC"/>
    <w:rsid w:val="005D287D"/>
    <w:rsid w:val="005D2FC9"/>
    <w:rsid w:val="005D369A"/>
    <w:rsid w:val="005D468F"/>
    <w:rsid w:val="005D4E0D"/>
    <w:rsid w:val="005D6566"/>
    <w:rsid w:val="005D794E"/>
    <w:rsid w:val="005E02A9"/>
    <w:rsid w:val="005E28B7"/>
    <w:rsid w:val="005E31D7"/>
    <w:rsid w:val="005E4E3E"/>
    <w:rsid w:val="005E5BEA"/>
    <w:rsid w:val="005E740C"/>
    <w:rsid w:val="005E7EAD"/>
    <w:rsid w:val="005F2C4C"/>
    <w:rsid w:val="005F4CE9"/>
    <w:rsid w:val="005F67C8"/>
    <w:rsid w:val="005F746A"/>
    <w:rsid w:val="006005BE"/>
    <w:rsid w:val="006029A4"/>
    <w:rsid w:val="00603017"/>
    <w:rsid w:val="0060400B"/>
    <w:rsid w:val="006046D9"/>
    <w:rsid w:val="00606EB7"/>
    <w:rsid w:val="00610491"/>
    <w:rsid w:val="00610661"/>
    <w:rsid w:val="00611C1F"/>
    <w:rsid w:val="00611D84"/>
    <w:rsid w:val="00611FF4"/>
    <w:rsid w:val="00613A54"/>
    <w:rsid w:val="00613CA2"/>
    <w:rsid w:val="00615804"/>
    <w:rsid w:val="00616041"/>
    <w:rsid w:val="006164BD"/>
    <w:rsid w:val="00616AE2"/>
    <w:rsid w:val="0062377A"/>
    <w:rsid w:val="0062497B"/>
    <w:rsid w:val="006267E2"/>
    <w:rsid w:val="0063027A"/>
    <w:rsid w:val="00642567"/>
    <w:rsid w:val="006432EB"/>
    <w:rsid w:val="0064504B"/>
    <w:rsid w:val="00650B7D"/>
    <w:rsid w:val="0065397D"/>
    <w:rsid w:val="00654247"/>
    <w:rsid w:val="006569FD"/>
    <w:rsid w:val="00656D6B"/>
    <w:rsid w:val="006614E5"/>
    <w:rsid w:val="00662292"/>
    <w:rsid w:val="00664304"/>
    <w:rsid w:val="00665AD2"/>
    <w:rsid w:val="00666C39"/>
    <w:rsid w:val="0066795D"/>
    <w:rsid w:val="00673FDF"/>
    <w:rsid w:val="00676EC4"/>
    <w:rsid w:val="00680D49"/>
    <w:rsid w:val="00681EE1"/>
    <w:rsid w:val="006835B3"/>
    <w:rsid w:val="00685466"/>
    <w:rsid w:val="00686322"/>
    <w:rsid w:val="0068705F"/>
    <w:rsid w:val="00691E91"/>
    <w:rsid w:val="00694924"/>
    <w:rsid w:val="00696922"/>
    <w:rsid w:val="006A0EBB"/>
    <w:rsid w:val="006A245B"/>
    <w:rsid w:val="006A46CB"/>
    <w:rsid w:val="006A57DE"/>
    <w:rsid w:val="006A581D"/>
    <w:rsid w:val="006A69C0"/>
    <w:rsid w:val="006B11B0"/>
    <w:rsid w:val="006B199F"/>
    <w:rsid w:val="006B3757"/>
    <w:rsid w:val="006B47E9"/>
    <w:rsid w:val="006B4FF2"/>
    <w:rsid w:val="006B7482"/>
    <w:rsid w:val="006B75DA"/>
    <w:rsid w:val="006B7799"/>
    <w:rsid w:val="006B7AAE"/>
    <w:rsid w:val="006C0865"/>
    <w:rsid w:val="006C3A3F"/>
    <w:rsid w:val="006C48AD"/>
    <w:rsid w:val="006D05BD"/>
    <w:rsid w:val="006D0E3B"/>
    <w:rsid w:val="006D7ACA"/>
    <w:rsid w:val="006E1CC4"/>
    <w:rsid w:val="006E32DF"/>
    <w:rsid w:val="006E4521"/>
    <w:rsid w:val="006F071E"/>
    <w:rsid w:val="006F2013"/>
    <w:rsid w:val="006F299C"/>
    <w:rsid w:val="00701078"/>
    <w:rsid w:val="0070120E"/>
    <w:rsid w:val="00701A5D"/>
    <w:rsid w:val="0070410B"/>
    <w:rsid w:val="00704901"/>
    <w:rsid w:val="007050AA"/>
    <w:rsid w:val="00705608"/>
    <w:rsid w:val="00712682"/>
    <w:rsid w:val="00715E18"/>
    <w:rsid w:val="00717972"/>
    <w:rsid w:val="00723675"/>
    <w:rsid w:val="00725AF1"/>
    <w:rsid w:val="00730AF9"/>
    <w:rsid w:val="00731056"/>
    <w:rsid w:val="00731D15"/>
    <w:rsid w:val="00735822"/>
    <w:rsid w:val="00736542"/>
    <w:rsid w:val="00736827"/>
    <w:rsid w:val="00742EB3"/>
    <w:rsid w:val="00743410"/>
    <w:rsid w:val="007476A4"/>
    <w:rsid w:val="007517F7"/>
    <w:rsid w:val="00752436"/>
    <w:rsid w:val="00753B2F"/>
    <w:rsid w:val="00756CCC"/>
    <w:rsid w:val="00757E62"/>
    <w:rsid w:val="00761A1D"/>
    <w:rsid w:val="00761B7C"/>
    <w:rsid w:val="00764C99"/>
    <w:rsid w:val="00770BF9"/>
    <w:rsid w:val="00770D24"/>
    <w:rsid w:val="0077506C"/>
    <w:rsid w:val="00775157"/>
    <w:rsid w:val="0077547D"/>
    <w:rsid w:val="00775737"/>
    <w:rsid w:val="00775A21"/>
    <w:rsid w:val="0077651A"/>
    <w:rsid w:val="00777635"/>
    <w:rsid w:val="00780186"/>
    <w:rsid w:val="007834A3"/>
    <w:rsid w:val="00783A73"/>
    <w:rsid w:val="00783EB3"/>
    <w:rsid w:val="00786103"/>
    <w:rsid w:val="00790A22"/>
    <w:rsid w:val="00790B4A"/>
    <w:rsid w:val="00793E6D"/>
    <w:rsid w:val="0079418D"/>
    <w:rsid w:val="00794835"/>
    <w:rsid w:val="0079573D"/>
    <w:rsid w:val="007A26D4"/>
    <w:rsid w:val="007A2DA7"/>
    <w:rsid w:val="007A2E09"/>
    <w:rsid w:val="007A615D"/>
    <w:rsid w:val="007B1EBB"/>
    <w:rsid w:val="007B6887"/>
    <w:rsid w:val="007C1B62"/>
    <w:rsid w:val="007C24B5"/>
    <w:rsid w:val="007C344E"/>
    <w:rsid w:val="007C47B6"/>
    <w:rsid w:val="007C70D0"/>
    <w:rsid w:val="007D0ECC"/>
    <w:rsid w:val="007D1064"/>
    <w:rsid w:val="007D1458"/>
    <w:rsid w:val="007D1945"/>
    <w:rsid w:val="007D5EC7"/>
    <w:rsid w:val="007D7145"/>
    <w:rsid w:val="007D7261"/>
    <w:rsid w:val="007D73A8"/>
    <w:rsid w:val="007E108C"/>
    <w:rsid w:val="007E1183"/>
    <w:rsid w:val="007E1411"/>
    <w:rsid w:val="007E44BC"/>
    <w:rsid w:val="007E49FE"/>
    <w:rsid w:val="007E676B"/>
    <w:rsid w:val="007E6A79"/>
    <w:rsid w:val="007E74AC"/>
    <w:rsid w:val="007E7D7A"/>
    <w:rsid w:val="007F010C"/>
    <w:rsid w:val="007F3103"/>
    <w:rsid w:val="007F43BE"/>
    <w:rsid w:val="007F60DC"/>
    <w:rsid w:val="007F735A"/>
    <w:rsid w:val="007F7C36"/>
    <w:rsid w:val="008005D9"/>
    <w:rsid w:val="00803C55"/>
    <w:rsid w:val="0080498D"/>
    <w:rsid w:val="00806FAB"/>
    <w:rsid w:val="00807E13"/>
    <w:rsid w:val="00807E5C"/>
    <w:rsid w:val="00811DE1"/>
    <w:rsid w:val="0081340E"/>
    <w:rsid w:val="008159A5"/>
    <w:rsid w:val="00816B08"/>
    <w:rsid w:val="00820C77"/>
    <w:rsid w:val="00823C18"/>
    <w:rsid w:val="00826851"/>
    <w:rsid w:val="008342D7"/>
    <w:rsid w:val="00837F7A"/>
    <w:rsid w:val="00840636"/>
    <w:rsid w:val="0084174D"/>
    <w:rsid w:val="00842775"/>
    <w:rsid w:val="0084389B"/>
    <w:rsid w:val="00845A23"/>
    <w:rsid w:val="00846306"/>
    <w:rsid w:val="00850F6D"/>
    <w:rsid w:val="00852ED4"/>
    <w:rsid w:val="00853C44"/>
    <w:rsid w:val="008559D7"/>
    <w:rsid w:val="00856221"/>
    <w:rsid w:val="008638E2"/>
    <w:rsid w:val="00872F08"/>
    <w:rsid w:val="008742DB"/>
    <w:rsid w:val="0087624D"/>
    <w:rsid w:val="00882B63"/>
    <w:rsid w:val="008853F6"/>
    <w:rsid w:val="00886592"/>
    <w:rsid w:val="00886961"/>
    <w:rsid w:val="00891B0E"/>
    <w:rsid w:val="00892642"/>
    <w:rsid w:val="00892B44"/>
    <w:rsid w:val="008967C6"/>
    <w:rsid w:val="008A2281"/>
    <w:rsid w:val="008A63AB"/>
    <w:rsid w:val="008B0559"/>
    <w:rsid w:val="008B0725"/>
    <w:rsid w:val="008B091E"/>
    <w:rsid w:val="008B0D76"/>
    <w:rsid w:val="008B1BAA"/>
    <w:rsid w:val="008B312A"/>
    <w:rsid w:val="008B3E18"/>
    <w:rsid w:val="008B6604"/>
    <w:rsid w:val="008B7A6C"/>
    <w:rsid w:val="008C133D"/>
    <w:rsid w:val="008C1BFA"/>
    <w:rsid w:val="008C4046"/>
    <w:rsid w:val="008C57DC"/>
    <w:rsid w:val="008C70BA"/>
    <w:rsid w:val="008C719F"/>
    <w:rsid w:val="008C7E7C"/>
    <w:rsid w:val="008D0608"/>
    <w:rsid w:val="008D2A30"/>
    <w:rsid w:val="008D3AE3"/>
    <w:rsid w:val="008D53D9"/>
    <w:rsid w:val="008E4983"/>
    <w:rsid w:val="008E70C3"/>
    <w:rsid w:val="008F039B"/>
    <w:rsid w:val="008F0F40"/>
    <w:rsid w:val="008F1935"/>
    <w:rsid w:val="008F35FD"/>
    <w:rsid w:val="008F654B"/>
    <w:rsid w:val="008F67D6"/>
    <w:rsid w:val="008F7ABC"/>
    <w:rsid w:val="00901209"/>
    <w:rsid w:val="009016D3"/>
    <w:rsid w:val="00906165"/>
    <w:rsid w:val="0090640B"/>
    <w:rsid w:val="009067F6"/>
    <w:rsid w:val="00910065"/>
    <w:rsid w:val="0091131F"/>
    <w:rsid w:val="00911E8B"/>
    <w:rsid w:val="00922D2F"/>
    <w:rsid w:val="00923AD3"/>
    <w:rsid w:val="009250F8"/>
    <w:rsid w:val="009261C7"/>
    <w:rsid w:val="00927BDB"/>
    <w:rsid w:val="009329CE"/>
    <w:rsid w:val="009363D3"/>
    <w:rsid w:val="0093690F"/>
    <w:rsid w:val="009376CF"/>
    <w:rsid w:val="009400A9"/>
    <w:rsid w:val="00946747"/>
    <w:rsid w:val="0095717D"/>
    <w:rsid w:val="00961213"/>
    <w:rsid w:val="00961955"/>
    <w:rsid w:val="00961C2D"/>
    <w:rsid w:val="0096227B"/>
    <w:rsid w:val="0096523E"/>
    <w:rsid w:val="00971F24"/>
    <w:rsid w:val="00971F55"/>
    <w:rsid w:val="00972748"/>
    <w:rsid w:val="00974DA0"/>
    <w:rsid w:val="00976481"/>
    <w:rsid w:val="00980B1B"/>
    <w:rsid w:val="0098489C"/>
    <w:rsid w:val="009865EA"/>
    <w:rsid w:val="0099188F"/>
    <w:rsid w:val="0099369F"/>
    <w:rsid w:val="009A0F44"/>
    <w:rsid w:val="009A3BEE"/>
    <w:rsid w:val="009A58EC"/>
    <w:rsid w:val="009A65E1"/>
    <w:rsid w:val="009A748B"/>
    <w:rsid w:val="009B19C2"/>
    <w:rsid w:val="009B19E7"/>
    <w:rsid w:val="009B2E7F"/>
    <w:rsid w:val="009B32CE"/>
    <w:rsid w:val="009B33E4"/>
    <w:rsid w:val="009B36D6"/>
    <w:rsid w:val="009B3BA5"/>
    <w:rsid w:val="009B49B8"/>
    <w:rsid w:val="009B5584"/>
    <w:rsid w:val="009B67DF"/>
    <w:rsid w:val="009B773E"/>
    <w:rsid w:val="009C06C7"/>
    <w:rsid w:val="009C0AFD"/>
    <w:rsid w:val="009C0F46"/>
    <w:rsid w:val="009C3CE8"/>
    <w:rsid w:val="009C4DD8"/>
    <w:rsid w:val="009C5015"/>
    <w:rsid w:val="009C6395"/>
    <w:rsid w:val="009D204E"/>
    <w:rsid w:val="009D7976"/>
    <w:rsid w:val="009E0CF6"/>
    <w:rsid w:val="009E4705"/>
    <w:rsid w:val="009E7F31"/>
    <w:rsid w:val="009F481B"/>
    <w:rsid w:val="009F70C3"/>
    <w:rsid w:val="009F7428"/>
    <w:rsid w:val="009F7705"/>
    <w:rsid w:val="00A00949"/>
    <w:rsid w:val="00A02042"/>
    <w:rsid w:val="00A026C2"/>
    <w:rsid w:val="00A0429D"/>
    <w:rsid w:val="00A076EB"/>
    <w:rsid w:val="00A07F3B"/>
    <w:rsid w:val="00A14F43"/>
    <w:rsid w:val="00A17A93"/>
    <w:rsid w:val="00A17E86"/>
    <w:rsid w:val="00A20DC0"/>
    <w:rsid w:val="00A211D8"/>
    <w:rsid w:val="00A23689"/>
    <w:rsid w:val="00A2550D"/>
    <w:rsid w:val="00A27270"/>
    <w:rsid w:val="00A337C1"/>
    <w:rsid w:val="00A34EC0"/>
    <w:rsid w:val="00A37DDE"/>
    <w:rsid w:val="00A4297D"/>
    <w:rsid w:val="00A436F9"/>
    <w:rsid w:val="00A465E6"/>
    <w:rsid w:val="00A46A2A"/>
    <w:rsid w:val="00A47814"/>
    <w:rsid w:val="00A5027D"/>
    <w:rsid w:val="00A50FFF"/>
    <w:rsid w:val="00A52238"/>
    <w:rsid w:val="00A522BA"/>
    <w:rsid w:val="00A54B6A"/>
    <w:rsid w:val="00A55E3F"/>
    <w:rsid w:val="00A60D1F"/>
    <w:rsid w:val="00A612EB"/>
    <w:rsid w:val="00A63269"/>
    <w:rsid w:val="00A71558"/>
    <w:rsid w:val="00A730A9"/>
    <w:rsid w:val="00A801B3"/>
    <w:rsid w:val="00A82D68"/>
    <w:rsid w:val="00A8679D"/>
    <w:rsid w:val="00A9017F"/>
    <w:rsid w:val="00A94024"/>
    <w:rsid w:val="00A94400"/>
    <w:rsid w:val="00A9519C"/>
    <w:rsid w:val="00A97464"/>
    <w:rsid w:val="00AA09EF"/>
    <w:rsid w:val="00AA13BB"/>
    <w:rsid w:val="00AA6162"/>
    <w:rsid w:val="00AA6FAC"/>
    <w:rsid w:val="00AB0460"/>
    <w:rsid w:val="00AB3EF9"/>
    <w:rsid w:val="00AB7154"/>
    <w:rsid w:val="00AC05AB"/>
    <w:rsid w:val="00AC40C7"/>
    <w:rsid w:val="00AC447F"/>
    <w:rsid w:val="00AC4B83"/>
    <w:rsid w:val="00AC5385"/>
    <w:rsid w:val="00AC7BC9"/>
    <w:rsid w:val="00AD093E"/>
    <w:rsid w:val="00AD1C72"/>
    <w:rsid w:val="00AD2D25"/>
    <w:rsid w:val="00AD383A"/>
    <w:rsid w:val="00AD4420"/>
    <w:rsid w:val="00AD5252"/>
    <w:rsid w:val="00AE1527"/>
    <w:rsid w:val="00AE1FA9"/>
    <w:rsid w:val="00AE268F"/>
    <w:rsid w:val="00AE348B"/>
    <w:rsid w:val="00AE411C"/>
    <w:rsid w:val="00AE69F4"/>
    <w:rsid w:val="00AE7314"/>
    <w:rsid w:val="00AF398D"/>
    <w:rsid w:val="00AF7B40"/>
    <w:rsid w:val="00B063FA"/>
    <w:rsid w:val="00B07EA7"/>
    <w:rsid w:val="00B10631"/>
    <w:rsid w:val="00B12116"/>
    <w:rsid w:val="00B12D47"/>
    <w:rsid w:val="00B1685E"/>
    <w:rsid w:val="00B206AB"/>
    <w:rsid w:val="00B2299B"/>
    <w:rsid w:val="00B23B81"/>
    <w:rsid w:val="00B23E83"/>
    <w:rsid w:val="00B24767"/>
    <w:rsid w:val="00B341D3"/>
    <w:rsid w:val="00B3658A"/>
    <w:rsid w:val="00B37872"/>
    <w:rsid w:val="00B40C4A"/>
    <w:rsid w:val="00B4172B"/>
    <w:rsid w:val="00B42C18"/>
    <w:rsid w:val="00B44B1D"/>
    <w:rsid w:val="00B452B6"/>
    <w:rsid w:val="00B46DF3"/>
    <w:rsid w:val="00B47F91"/>
    <w:rsid w:val="00B50372"/>
    <w:rsid w:val="00B537C9"/>
    <w:rsid w:val="00B543B8"/>
    <w:rsid w:val="00B54C35"/>
    <w:rsid w:val="00B55322"/>
    <w:rsid w:val="00B55EEF"/>
    <w:rsid w:val="00B5743C"/>
    <w:rsid w:val="00B57EF7"/>
    <w:rsid w:val="00B61CF4"/>
    <w:rsid w:val="00B61D52"/>
    <w:rsid w:val="00B6342F"/>
    <w:rsid w:val="00B660D9"/>
    <w:rsid w:val="00B665CC"/>
    <w:rsid w:val="00B67625"/>
    <w:rsid w:val="00B713DD"/>
    <w:rsid w:val="00B76BE3"/>
    <w:rsid w:val="00B809EF"/>
    <w:rsid w:val="00B81E29"/>
    <w:rsid w:val="00B832EF"/>
    <w:rsid w:val="00B87857"/>
    <w:rsid w:val="00B9000F"/>
    <w:rsid w:val="00B91DAB"/>
    <w:rsid w:val="00B92B31"/>
    <w:rsid w:val="00B93E29"/>
    <w:rsid w:val="00B96046"/>
    <w:rsid w:val="00BA1086"/>
    <w:rsid w:val="00BA18AE"/>
    <w:rsid w:val="00BA27C0"/>
    <w:rsid w:val="00BA3734"/>
    <w:rsid w:val="00BA4A31"/>
    <w:rsid w:val="00BA6F7E"/>
    <w:rsid w:val="00BA7133"/>
    <w:rsid w:val="00BA7805"/>
    <w:rsid w:val="00BB1592"/>
    <w:rsid w:val="00BB6C5C"/>
    <w:rsid w:val="00BB75AC"/>
    <w:rsid w:val="00BB7A20"/>
    <w:rsid w:val="00BC0B46"/>
    <w:rsid w:val="00BC2C9B"/>
    <w:rsid w:val="00BC30FC"/>
    <w:rsid w:val="00BC6E92"/>
    <w:rsid w:val="00BD065D"/>
    <w:rsid w:val="00BD1202"/>
    <w:rsid w:val="00BD2785"/>
    <w:rsid w:val="00BD2830"/>
    <w:rsid w:val="00BD5413"/>
    <w:rsid w:val="00BE04D3"/>
    <w:rsid w:val="00BE58B1"/>
    <w:rsid w:val="00BF026F"/>
    <w:rsid w:val="00BF034B"/>
    <w:rsid w:val="00BF6391"/>
    <w:rsid w:val="00C01135"/>
    <w:rsid w:val="00C020E7"/>
    <w:rsid w:val="00C036B3"/>
    <w:rsid w:val="00C11831"/>
    <w:rsid w:val="00C12660"/>
    <w:rsid w:val="00C146FB"/>
    <w:rsid w:val="00C223BA"/>
    <w:rsid w:val="00C250C5"/>
    <w:rsid w:val="00C26B37"/>
    <w:rsid w:val="00C3036D"/>
    <w:rsid w:val="00C30978"/>
    <w:rsid w:val="00C31625"/>
    <w:rsid w:val="00C35FFC"/>
    <w:rsid w:val="00C37118"/>
    <w:rsid w:val="00C411E2"/>
    <w:rsid w:val="00C4134E"/>
    <w:rsid w:val="00C42288"/>
    <w:rsid w:val="00C43D12"/>
    <w:rsid w:val="00C44BBA"/>
    <w:rsid w:val="00C45ED6"/>
    <w:rsid w:val="00C50925"/>
    <w:rsid w:val="00C53D5C"/>
    <w:rsid w:val="00C571F6"/>
    <w:rsid w:val="00C62A27"/>
    <w:rsid w:val="00C63F75"/>
    <w:rsid w:val="00C65B2A"/>
    <w:rsid w:val="00C672E4"/>
    <w:rsid w:val="00C701B7"/>
    <w:rsid w:val="00C74FDB"/>
    <w:rsid w:val="00C75D7E"/>
    <w:rsid w:val="00C7684D"/>
    <w:rsid w:val="00C82026"/>
    <w:rsid w:val="00C83981"/>
    <w:rsid w:val="00C85832"/>
    <w:rsid w:val="00C9158B"/>
    <w:rsid w:val="00C9250D"/>
    <w:rsid w:val="00C93C05"/>
    <w:rsid w:val="00C95845"/>
    <w:rsid w:val="00C96F37"/>
    <w:rsid w:val="00C97556"/>
    <w:rsid w:val="00CA02BE"/>
    <w:rsid w:val="00CA1320"/>
    <w:rsid w:val="00CA56FE"/>
    <w:rsid w:val="00CA5A8D"/>
    <w:rsid w:val="00CB07D6"/>
    <w:rsid w:val="00CB1B18"/>
    <w:rsid w:val="00CB4E58"/>
    <w:rsid w:val="00CB5465"/>
    <w:rsid w:val="00CB6CB0"/>
    <w:rsid w:val="00CB723F"/>
    <w:rsid w:val="00CB7D41"/>
    <w:rsid w:val="00CC24EA"/>
    <w:rsid w:val="00CC362E"/>
    <w:rsid w:val="00CC50A9"/>
    <w:rsid w:val="00CC73CF"/>
    <w:rsid w:val="00CC77C8"/>
    <w:rsid w:val="00CD5427"/>
    <w:rsid w:val="00CD6C33"/>
    <w:rsid w:val="00CD791C"/>
    <w:rsid w:val="00CE0542"/>
    <w:rsid w:val="00CE2248"/>
    <w:rsid w:val="00CE38A7"/>
    <w:rsid w:val="00CE5F71"/>
    <w:rsid w:val="00CE6037"/>
    <w:rsid w:val="00CE6ECA"/>
    <w:rsid w:val="00CE7E5A"/>
    <w:rsid w:val="00CF163B"/>
    <w:rsid w:val="00CF395B"/>
    <w:rsid w:val="00CF3D37"/>
    <w:rsid w:val="00CF4D7B"/>
    <w:rsid w:val="00CF4FD0"/>
    <w:rsid w:val="00CF6343"/>
    <w:rsid w:val="00CF6819"/>
    <w:rsid w:val="00D01BE7"/>
    <w:rsid w:val="00D04438"/>
    <w:rsid w:val="00D11F14"/>
    <w:rsid w:val="00D12C22"/>
    <w:rsid w:val="00D21AE9"/>
    <w:rsid w:val="00D23041"/>
    <w:rsid w:val="00D238CC"/>
    <w:rsid w:val="00D23EA0"/>
    <w:rsid w:val="00D2792E"/>
    <w:rsid w:val="00D33F08"/>
    <w:rsid w:val="00D3453A"/>
    <w:rsid w:val="00D403A9"/>
    <w:rsid w:val="00D4061C"/>
    <w:rsid w:val="00D40ECD"/>
    <w:rsid w:val="00D42133"/>
    <w:rsid w:val="00D42D37"/>
    <w:rsid w:val="00D45D3A"/>
    <w:rsid w:val="00D512D0"/>
    <w:rsid w:val="00D51EFE"/>
    <w:rsid w:val="00D540EC"/>
    <w:rsid w:val="00D6033B"/>
    <w:rsid w:val="00D61413"/>
    <w:rsid w:val="00D62A41"/>
    <w:rsid w:val="00D639BA"/>
    <w:rsid w:val="00D66DE3"/>
    <w:rsid w:val="00D67270"/>
    <w:rsid w:val="00D71D66"/>
    <w:rsid w:val="00D7301D"/>
    <w:rsid w:val="00D730C1"/>
    <w:rsid w:val="00D74131"/>
    <w:rsid w:val="00D774E8"/>
    <w:rsid w:val="00D811BC"/>
    <w:rsid w:val="00D811CC"/>
    <w:rsid w:val="00D814CC"/>
    <w:rsid w:val="00D83098"/>
    <w:rsid w:val="00D84831"/>
    <w:rsid w:val="00D848CC"/>
    <w:rsid w:val="00D85C77"/>
    <w:rsid w:val="00D86664"/>
    <w:rsid w:val="00D8711C"/>
    <w:rsid w:val="00D91816"/>
    <w:rsid w:val="00D927EE"/>
    <w:rsid w:val="00D935DB"/>
    <w:rsid w:val="00D947F0"/>
    <w:rsid w:val="00D9623E"/>
    <w:rsid w:val="00DA010B"/>
    <w:rsid w:val="00DA1568"/>
    <w:rsid w:val="00DA3843"/>
    <w:rsid w:val="00DA541F"/>
    <w:rsid w:val="00DA5ED0"/>
    <w:rsid w:val="00DB0162"/>
    <w:rsid w:val="00DB4014"/>
    <w:rsid w:val="00DB67CB"/>
    <w:rsid w:val="00DC0E87"/>
    <w:rsid w:val="00DC41D6"/>
    <w:rsid w:val="00DD476D"/>
    <w:rsid w:val="00DD5B8B"/>
    <w:rsid w:val="00DE2723"/>
    <w:rsid w:val="00DE28AC"/>
    <w:rsid w:val="00DE2B02"/>
    <w:rsid w:val="00DE4E88"/>
    <w:rsid w:val="00DE74E9"/>
    <w:rsid w:val="00DE79BD"/>
    <w:rsid w:val="00DF06DE"/>
    <w:rsid w:val="00DF5070"/>
    <w:rsid w:val="00DF60CB"/>
    <w:rsid w:val="00E018C7"/>
    <w:rsid w:val="00E03E32"/>
    <w:rsid w:val="00E105E8"/>
    <w:rsid w:val="00E11EDB"/>
    <w:rsid w:val="00E14974"/>
    <w:rsid w:val="00E14FF8"/>
    <w:rsid w:val="00E159EE"/>
    <w:rsid w:val="00E17056"/>
    <w:rsid w:val="00E21C58"/>
    <w:rsid w:val="00E223B9"/>
    <w:rsid w:val="00E26DA9"/>
    <w:rsid w:val="00E27F8A"/>
    <w:rsid w:val="00E30DD7"/>
    <w:rsid w:val="00E317DD"/>
    <w:rsid w:val="00E34829"/>
    <w:rsid w:val="00E34F23"/>
    <w:rsid w:val="00E350F0"/>
    <w:rsid w:val="00E358A7"/>
    <w:rsid w:val="00E37AC7"/>
    <w:rsid w:val="00E40982"/>
    <w:rsid w:val="00E43663"/>
    <w:rsid w:val="00E44368"/>
    <w:rsid w:val="00E47837"/>
    <w:rsid w:val="00E50A57"/>
    <w:rsid w:val="00E50F61"/>
    <w:rsid w:val="00E52A06"/>
    <w:rsid w:val="00E55BC0"/>
    <w:rsid w:val="00E55F9C"/>
    <w:rsid w:val="00E60D7E"/>
    <w:rsid w:val="00E61D0E"/>
    <w:rsid w:val="00E62AB9"/>
    <w:rsid w:val="00E662EC"/>
    <w:rsid w:val="00E66E0F"/>
    <w:rsid w:val="00E66E2B"/>
    <w:rsid w:val="00E67741"/>
    <w:rsid w:val="00E71B50"/>
    <w:rsid w:val="00E748A6"/>
    <w:rsid w:val="00E74FDF"/>
    <w:rsid w:val="00E76101"/>
    <w:rsid w:val="00E81916"/>
    <w:rsid w:val="00E858DA"/>
    <w:rsid w:val="00E87321"/>
    <w:rsid w:val="00E87A38"/>
    <w:rsid w:val="00E9047D"/>
    <w:rsid w:val="00E97932"/>
    <w:rsid w:val="00EA4D59"/>
    <w:rsid w:val="00EB09D0"/>
    <w:rsid w:val="00EB508F"/>
    <w:rsid w:val="00EB552D"/>
    <w:rsid w:val="00EB6C6B"/>
    <w:rsid w:val="00EC21B9"/>
    <w:rsid w:val="00EC4677"/>
    <w:rsid w:val="00EC54C0"/>
    <w:rsid w:val="00ED1097"/>
    <w:rsid w:val="00ED4C41"/>
    <w:rsid w:val="00ED5D50"/>
    <w:rsid w:val="00ED6411"/>
    <w:rsid w:val="00ED6F96"/>
    <w:rsid w:val="00EE1253"/>
    <w:rsid w:val="00EE584B"/>
    <w:rsid w:val="00EE604C"/>
    <w:rsid w:val="00EE613E"/>
    <w:rsid w:val="00EE6762"/>
    <w:rsid w:val="00EF125D"/>
    <w:rsid w:val="00EF157B"/>
    <w:rsid w:val="00EF29DA"/>
    <w:rsid w:val="00EF2EFA"/>
    <w:rsid w:val="00EF39F7"/>
    <w:rsid w:val="00EF4026"/>
    <w:rsid w:val="00EF5F86"/>
    <w:rsid w:val="00F023AC"/>
    <w:rsid w:val="00F043B0"/>
    <w:rsid w:val="00F05711"/>
    <w:rsid w:val="00F1090B"/>
    <w:rsid w:val="00F10B22"/>
    <w:rsid w:val="00F10B46"/>
    <w:rsid w:val="00F11AE4"/>
    <w:rsid w:val="00F11D0A"/>
    <w:rsid w:val="00F156DC"/>
    <w:rsid w:val="00F259A2"/>
    <w:rsid w:val="00F2749E"/>
    <w:rsid w:val="00F27F12"/>
    <w:rsid w:val="00F36A0D"/>
    <w:rsid w:val="00F36AAA"/>
    <w:rsid w:val="00F37FDE"/>
    <w:rsid w:val="00F40E9E"/>
    <w:rsid w:val="00F41ECA"/>
    <w:rsid w:val="00F4630D"/>
    <w:rsid w:val="00F473AA"/>
    <w:rsid w:val="00F50189"/>
    <w:rsid w:val="00F53557"/>
    <w:rsid w:val="00F53790"/>
    <w:rsid w:val="00F5425A"/>
    <w:rsid w:val="00F548F0"/>
    <w:rsid w:val="00F54E11"/>
    <w:rsid w:val="00F5763E"/>
    <w:rsid w:val="00F62E3B"/>
    <w:rsid w:val="00F64228"/>
    <w:rsid w:val="00F6427B"/>
    <w:rsid w:val="00F66DA1"/>
    <w:rsid w:val="00F706F6"/>
    <w:rsid w:val="00F70734"/>
    <w:rsid w:val="00F70AA7"/>
    <w:rsid w:val="00F73D5A"/>
    <w:rsid w:val="00F73F18"/>
    <w:rsid w:val="00F753DE"/>
    <w:rsid w:val="00F7617D"/>
    <w:rsid w:val="00F761FC"/>
    <w:rsid w:val="00F76511"/>
    <w:rsid w:val="00F77612"/>
    <w:rsid w:val="00F80AD2"/>
    <w:rsid w:val="00F81687"/>
    <w:rsid w:val="00F81782"/>
    <w:rsid w:val="00F81E2A"/>
    <w:rsid w:val="00F82CEA"/>
    <w:rsid w:val="00F83887"/>
    <w:rsid w:val="00F83949"/>
    <w:rsid w:val="00F851C4"/>
    <w:rsid w:val="00F8526B"/>
    <w:rsid w:val="00F91063"/>
    <w:rsid w:val="00F9143F"/>
    <w:rsid w:val="00F93169"/>
    <w:rsid w:val="00F93212"/>
    <w:rsid w:val="00F937FA"/>
    <w:rsid w:val="00F93D42"/>
    <w:rsid w:val="00F97BD6"/>
    <w:rsid w:val="00FA09CE"/>
    <w:rsid w:val="00FA3744"/>
    <w:rsid w:val="00FA4DB7"/>
    <w:rsid w:val="00FB53A3"/>
    <w:rsid w:val="00FB6557"/>
    <w:rsid w:val="00FB68B0"/>
    <w:rsid w:val="00FC0A9D"/>
    <w:rsid w:val="00FC580A"/>
    <w:rsid w:val="00FC5DFE"/>
    <w:rsid w:val="00FC65B3"/>
    <w:rsid w:val="00FD24CC"/>
    <w:rsid w:val="00FD5DB7"/>
    <w:rsid w:val="00FD5FB2"/>
    <w:rsid w:val="00FD6725"/>
    <w:rsid w:val="00FD6C1E"/>
    <w:rsid w:val="00FE17F4"/>
    <w:rsid w:val="00FE3131"/>
    <w:rsid w:val="00FE4B90"/>
    <w:rsid w:val="00FE66BB"/>
    <w:rsid w:val="00FE7654"/>
    <w:rsid w:val="00FF5ED2"/>
    <w:rsid w:val="00FF6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D9BF8"/>
  <w15:chartTrackingRefBased/>
  <w15:docId w15:val="{3F3D8E19-923B-4769-B80E-2653EA852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1C0"/>
    <w:pPr>
      <w:spacing w:before="80" w:after="0" w:line="260" w:lineRule="exact"/>
    </w:pPr>
  </w:style>
  <w:style w:type="paragraph" w:styleId="Heading1">
    <w:name w:val="heading 1"/>
    <w:basedOn w:val="Normal"/>
    <w:next w:val="Normal"/>
    <w:link w:val="Heading1Char"/>
    <w:qFormat/>
    <w:rsid w:val="003142A7"/>
    <w:pPr>
      <w:keepNext/>
      <w:numPr>
        <w:numId w:val="16"/>
      </w:numPr>
      <w:spacing w:before="240" w:after="60" w:line="240" w:lineRule="auto"/>
      <w:outlineLvl w:val="0"/>
    </w:pPr>
    <w:rPr>
      <w:rFonts w:eastAsia="Times New Roman" w:cs="Arial"/>
      <w:b/>
      <w:bCs/>
      <w:kern w:val="32"/>
      <w:sz w:val="32"/>
      <w:szCs w:val="32"/>
    </w:rPr>
  </w:style>
  <w:style w:type="paragraph" w:styleId="Heading2">
    <w:name w:val="heading 2"/>
    <w:basedOn w:val="Normal"/>
    <w:next w:val="Normal"/>
    <w:link w:val="Heading2Char"/>
    <w:qFormat/>
    <w:rsid w:val="003142A7"/>
    <w:pPr>
      <w:keepNext/>
      <w:numPr>
        <w:ilvl w:val="1"/>
        <w:numId w:val="16"/>
      </w:numPr>
      <w:spacing w:before="240" w:after="60" w:line="240" w:lineRule="auto"/>
      <w:outlineLvl w:val="1"/>
    </w:pPr>
    <w:rPr>
      <w:rFonts w:eastAsia="Times New Roman" w:cs="Arial"/>
      <w:b/>
      <w:bCs/>
      <w:i/>
      <w:iCs/>
      <w:sz w:val="28"/>
      <w:szCs w:val="28"/>
    </w:rPr>
  </w:style>
  <w:style w:type="paragraph" w:styleId="Heading3">
    <w:name w:val="heading 3"/>
    <w:basedOn w:val="Normal"/>
    <w:next w:val="Normal"/>
    <w:link w:val="Heading3Char"/>
    <w:qFormat/>
    <w:rsid w:val="003142A7"/>
    <w:pPr>
      <w:keepNext/>
      <w:numPr>
        <w:ilvl w:val="2"/>
        <w:numId w:val="16"/>
      </w:numPr>
      <w:spacing w:before="240" w:after="60" w:line="240" w:lineRule="auto"/>
      <w:outlineLvl w:val="2"/>
    </w:pPr>
    <w:rPr>
      <w:rFonts w:eastAsia="Times New Roman" w:cs="Arial"/>
      <w:b/>
      <w:bCs/>
      <w:sz w:val="26"/>
      <w:szCs w:val="26"/>
    </w:rPr>
  </w:style>
  <w:style w:type="paragraph" w:styleId="Heading4">
    <w:name w:val="heading 4"/>
    <w:basedOn w:val="Normal"/>
    <w:next w:val="Normal"/>
    <w:link w:val="Heading4Char"/>
    <w:qFormat/>
    <w:rsid w:val="003142A7"/>
    <w:pPr>
      <w:keepNext/>
      <w:numPr>
        <w:ilvl w:val="3"/>
        <w:numId w:val="16"/>
      </w:numPr>
      <w:spacing w:before="240" w:after="60" w:line="240" w:lineRule="auto"/>
      <w:outlineLvl w:val="3"/>
    </w:pPr>
    <w:rPr>
      <w:rFonts w:ascii="Times New Roman" w:eastAsia="Times New Roman" w:hAnsi="Times New Roman" w:cs="Arial"/>
      <w:b/>
      <w:bCs/>
      <w:sz w:val="28"/>
      <w:szCs w:val="28"/>
    </w:rPr>
  </w:style>
  <w:style w:type="paragraph" w:styleId="Heading5">
    <w:name w:val="heading 5"/>
    <w:basedOn w:val="Normal"/>
    <w:next w:val="Normal"/>
    <w:link w:val="Heading5Char"/>
    <w:qFormat/>
    <w:rsid w:val="003142A7"/>
    <w:pPr>
      <w:numPr>
        <w:ilvl w:val="4"/>
        <w:numId w:val="16"/>
      </w:numPr>
      <w:spacing w:before="240" w:after="60" w:line="240" w:lineRule="auto"/>
      <w:outlineLvl w:val="4"/>
    </w:pPr>
    <w:rPr>
      <w:rFonts w:eastAsia="Times New Roman" w:cs="Arial"/>
      <w:b/>
      <w:bCs/>
      <w:i/>
      <w:iCs/>
      <w:sz w:val="26"/>
      <w:szCs w:val="26"/>
    </w:rPr>
  </w:style>
  <w:style w:type="paragraph" w:styleId="Heading6">
    <w:name w:val="heading 6"/>
    <w:basedOn w:val="Normal"/>
    <w:next w:val="Normal"/>
    <w:link w:val="Heading6Char"/>
    <w:qFormat/>
    <w:rsid w:val="003142A7"/>
    <w:pPr>
      <w:numPr>
        <w:ilvl w:val="5"/>
        <w:numId w:val="16"/>
      </w:numPr>
      <w:spacing w:before="240" w:after="60" w:line="240" w:lineRule="auto"/>
      <w:outlineLvl w:val="5"/>
    </w:pPr>
    <w:rPr>
      <w:rFonts w:ascii="Times New Roman" w:eastAsia="Times New Roman" w:hAnsi="Times New Roman" w:cs="Arial"/>
      <w:b/>
      <w:bCs/>
    </w:rPr>
  </w:style>
  <w:style w:type="paragraph" w:styleId="Heading7">
    <w:name w:val="heading 7"/>
    <w:basedOn w:val="Normal"/>
    <w:next w:val="Normal"/>
    <w:link w:val="Heading7Char"/>
    <w:qFormat/>
    <w:rsid w:val="003142A7"/>
    <w:pPr>
      <w:numPr>
        <w:ilvl w:val="6"/>
        <w:numId w:val="16"/>
      </w:numPr>
      <w:spacing w:before="240" w:after="60" w:line="240" w:lineRule="auto"/>
      <w:outlineLvl w:val="6"/>
    </w:pPr>
    <w:rPr>
      <w:rFonts w:ascii="Times New Roman" w:eastAsia="Times New Roman" w:hAnsi="Times New Roman" w:cs="Arial"/>
      <w:sz w:val="24"/>
      <w:szCs w:val="20"/>
    </w:rPr>
  </w:style>
  <w:style w:type="paragraph" w:styleId="Heading8">
    <w:name w:val="heading 8"/>
    <w:basedOn w:val="Normal"/>
    <w:next w:val="Normal"/>
    <w:link w:val="Heading8Char"/>
    <w:qFormat/>
    <w:rsid w:val="003142A7"/>
    <w:pPr>
      <w:numPr>
        <w:ilvl w:val="7"/>
        <w:numId w:val="16"/>
      </w:numPr>
      <w:tabs>
        <w:tab w:val="clear" w:pos="5760"/>
      </w:tabs>
      <w:spacing w:before="40" w:line="200" w:lineRule="exact"/>
      <w:ind w:left="144" w:hanging="144"/>
      <w:outlineLvl w:val="7"/>
    </w:pPr>
    <w:rPr>
      <w:rFonts w:ascii="Calibri" w:eastAsia="Times New Roman" w:hAnsi="Calibri" w:cs="Arial"/>
      <w:i/>
      <w:iCs/>
      <w:sz w:val="18"/>
      <w:szCs w:val="20"/>
    </w:rPr>
  </w:style>
  <w:style w:type="paragraph" w:styleId="Heading9">
    <w:name w:val="heading 9"/>
    <w:basedOn w:val="Normal"/>
    <w:next w:val="Normal"/>
    <w:link w:val="Heading9Char"/>
    <w:qFormat/>
    <w:rsid w:val="003142A7"/>
    <w:pPr>
      <w:numPr>
        <w:ilvl w:val="8"/>
        <w:numId w:val="16"/>
      </w:numPr>
      <w:spacing w:before="240" w:after="60" w:line="240" w:lineRule="auto"/>
      <w:outlineLvl w:val="8"/>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Plist">
    <w:name w:val="PP list"/>
    <w:basedOn w:val="Normal"/>
    <w:qFormat/>
    <w:rsid w:val="00610661"/>
    <w:pPr>
      <w:widowControl w:val="0"/>
      <w:numPr>
        <w:numId w:val="1"/>
      </w:numPr>
      <w:tabs>
        <w:tab w:val="left" w:pos="144"/>
      </w:tabs>
      <w:spacing w:before="40" w:line="200" w:lineRule="exact"/>
    </w:pPr>
    <w:rPr>
      <w:rFonts w:ascii="Calibri" w:eastAsia="Times New Roman" w:hAnsi="Calibri" w:cs="Calibri"/>
      <w:sz w:val="18"/>
      <w:szCs w:val="18"/>
    </w:rPr>
  </w:style>
  <w:style w:type="paragraph" w:customStyle="1" w:styleId="PPtext">
    <w:name w:val="PP text"/>
    <w:basedOn w:val="Normal"/>
    <w:link w:val="PPtextChar"/>
    <w:rsid w:val="00CD791C"/>
    <w:pPr>
      <w:widowControl w:val="0"/>
      <w:tabs>
        <w:tab w:val="left" w:pos="288"/>
      </w:tabs>
      <w:spacing w:line="220" w:lineRule="exact"/>
    </w:pPr>
    <w:rPr>
      <w:rFonts w:ascii="Calibri" w:eastAsia="Times New Roman" w:hAnsi="Calibri" w:cs="Calibri"/>
      <w:sz w:val="20"/>
      <w:szCs w:val="20"/>
    </w:rPr>
  </w:style>
  <w:style w:type="character" w:customStyle="1" w:styleId="PPtextChar">
    <w:name w:val="PP text Char"/>
    <w:link w:val="PPtext"/>
    <w:locked/>
    <w:rsid w:val="00CD791C"/>
    <w:rPr>
      <w:rFonts w:ascii="Calibri" w:eastAsia="Times New Roman" w:hAnsi="Calibri" w:cs="Calibri"/>
      <w:sz w:val="20"/>
      <w:szCs w:val="20"/>
    </w:rPr>
  </w:style>
  <w:style w:type="paragraph" w:customStyle="1" w:styleId="PPSub">
    <w:name w:val="PP Sub"/>
    <w:basedOn w:val="Normal"/>
    <w:rsid w:val="009C06C7"/>
    <w:pPr>
      <w:widowControl w:val="0"/>
      <w:autoSpaceDE w:val="0"/>
      <w:autoSpaceDN w:val="0"/>
      <w:adjustRightInd w:val="0"/>
      <w:spacing w:line="220" w:lineRule="exact"/>
      <w:jc w:val="both"/>
    </w:pPr>
    <w:rPr>
      <w:rFonts w:eastAsia="Times New Roman" w:cs="Calibri"/>
      <w:b/>
      <w:bCs/>
      <w:i/>
      <w:iCs/>
      <w:color w:val="AB8422" w:themeColor="background2"/>
      <w:sz w:val="20"/>
      <w:szCs w:val="20"/>
    </w:rPr>
  </w:style>
  <w:style w:type="paragraph" w:customStyle="1" w:styleId="PPquote">
    <w:name w:val="PP quote"/>
    <w:basedOn w:val="Normal"/>
    <w:link w:val="PPquoteChar"/>
    <w:rsid w:val="00FF6084"/>
    <w:pPr>
      <w:widowControl w:val="0"/>
      <w:spacing w:before="60" w:line="200" w:lineRule="exact"/>
      <w:ind w:left="144" w:right="144"/>
    </w:pPr>
    <w:rPr>
      <w:rFonts w:eastAsia="Times New Roman" w:cs="Calibri"/>
      <w:sz w:val="18"/>
      <w:szCs w:val="18"/>
    </w:rPr>
  </w:style>
  <w:style w:type="table" w:styleId="TableGrid">
    <w:name w:val="Table Grid"/>
    <w:basedOn w:val="TableNormal"/>
    <w:rsid w:val="00090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142A7"/>
    <w:rPr>
      <w:rFonts w:eastAsia="Times New Roman" w:cs="Arial"/>
      <w:b/>
      <w:bCs/>
      <w:kern w:val="32"/>
      <w:sz w:val="32"/>
      <w:szCs w:val="32"/>
    </w:rPr>
  </w:style>
  <w:style w:type="character" w:customStyle="1" w:styleId="Heading2Char">
    <w:name w:val="Heading 2 Char"/>
    <w:basedOn w:val="DefaultParagraphFont"/>
    <w:link w:val="Heading2"/>
    <w:rsid w:val="003142A7"/>
    <w:rPr>
      <w:rFonts w:eastAsia="Times New Roman" w:cs="Arial"/>
      <w:b/>
      <w:bCs/>
      <w:i/>
      <w:iCs/>
      <w:sz w:val="28"/>
      <w:szCs w:val="28"/>
    </w:rPr>
  </w:style>
  <w:style w:type="character" w:customStyle="1" w:styleId="Heading3Char">
    <w:name w:val="Heading 3 Char"/>
    <w:basedOn w:val="DefaultParagraphFont"/>
    <w:link w:val="Heading3"/>
    <w:rsid w:val="003142A7"/>
    <w:rPr>
      <w:rFonts w:eastAsia="Times New Roman" w:cs="Arial"/>
      <w:b/>
      <w:bCs/>
      <w:sz w:val="26"/>
      <w:szCs w:val="26"/>
    </w:rPr>
  </w:style>
  <w:style w:type="character" w:customStyle="1" w:styleId="Heading4Char">
    <w:name w:val="Heading 4 Char"/>
    <w:basedOn w:val="DefaultParagraphFont"/>
    <w:link w:val="Heading4"/>
    <w:rsid w:val="003142A7"/>
    <w:rPr>
      <w:rFonts w:ascii="Times New Roman" w:eastAsia="Times New Roman" w:hAnsi="Times New Roman" w:cs="Arial"/>
      <w:b/>
      <w:bCs/>
      <w:sz w:val="28"/>
      <w:szCs w:val="28"/>
    </w:rPr>
  </w:style>
  <w:style w:type="character" w:customStyle="1" w:styleId="Heading5Char">
    <w:name w:val="Heading 5 Char"/>
    <w:basedOn w:val="DefaultParagraphFont"/>
    <w:link w:val="Heading5"/>
    <w:rsid w:val="003142A7"/>
    <w:rPr>
      <w:rFonts w:eastAsia="Times New Roman" w:cs="Arial"/>
      <w:b/>
      <w:bCs/>
      <w:i/>
      <w:iCs/>
      <w:sz w:val="26"/>
      <w:szCs w:val="26"/>
    </w:rPr>
  </w:style>
  <w:style w:type="character" w:customStyle="1" w:styleId="Heading6Char">
    <w:name w:val="Heading 6 Char"/>
    <w:basedOn w:val="DefaultParagraphFont"/>
    <w:link w:val="Heading6"/>
    <w:rsid w:val="003142A7"/>
    <w:rPr>
      <w:rFonts w:ascii="Times New Roman" w:eastAsia="Times New Roman" w:hAnsi="Times New Roman" w:cs="Arial"/>
      <w:b/>
      <w:bCs/>
    </w:rPr>
  </w:style>
  <w:style w:type="character" w:customStyle="1" w:styleId="Heading7Char">
    <w:name w:val="Heading 7 Char"/>
    <w:basedOn w:val="DefaultParagraphFont"/>
    <w:link w:val="Heading7"/>
    <w:rsid w:val="003142A7"/>
    <w:rPr>
      <w:rFonts w:ascii="Times New Roman" w:eastAsia="Times New Roman" w:hAnsi="Times New Roman" w:cs="Arial"/>
      <w:sz w:val="24"/>
      <w:szCs w:val="20"/>
    </w:rPr>
  </w:style>
  <w:style w:type="character" w:customStyle="1" w:styleId="Heading8Char">
    <w:name w:val="Heading 8 Char"/>
    <w:basedOn w:val="DefaultParagraphFont"/>
    <w:link w:val="Heading8"/>
    <w:rsid w:val="003142A7"/>
    <w:rPr>
      <w:rFonts w:ascii="Calibri" w:eastAsia="Times New Roman" w:hAnsi="Calibri" w:cs="Arial"/>
      <w:i/>
      <w:iCs/>
      <w:sz w:val="18"/>
      <w:szCs w:val="20"/>
    </w:rPr>
  </w:style>
  <w:style w:type="character" w:customStyle="1" w:styleId="Heading9Char">
    <w:name w:val="Heading 9 Char"/>
    <w:basedOn w:val="DefaultParagraphFont"/>
    <w:link w:val="Heading9"/>
    <w:rsid w:val="003142A7"/>
    <w:rPr>
      <w:rFonts w:eastAsia="Times New Roman" w:cs="Arial"/>
    </w:rPr>
  </w:style>
  <w:style w:type="character" w:customStyle="1" w:styleId="PPquoteChar">
    <w:name w:val="PP quote Char"/>
    <w:link w:val="PPquote"/>
    <w:locked/>
    <w:rsid w:val="00FF6084"/>
    <w:rPr>
      <w:rFonts w:eastAsia="Times New Roman" w:cs="Calibri"/>
      <w:sz w:val="18"/>
      <w:szCs w:val="18"/>
    </w:rPr>
  </w:style>
  <w:style w:type="paragraph" w:customStyle="1" w:styleId="PPlist2ndlevel">
    <w:name w:val="PP list 2nd level"/>
    <w:basedOn w:val="PPlist"/>
    <w:qFormat/>
    <w:rsid w:val="00F37FDE"/>
    <w:pPr>
      <w:numPr>
        <w:numId w:val="17"/>
      </w:numPr>
      <w:ind w:left="288" w:hanging="144"/>
    </w:pPr>
  </w:style>
  <w:style w:type="numbering" w:customStyle="1" w:styleId="1ai910313">
    <w:name w:val="1 / a / i910313"/>
    <w:basedOn w:val="NoList"/>
    <w:semiHidden/>
    <w:rsid w:val="005302E8"/>
    <w:pPr>
      <w:numPr>
        <w:numId w:val="18"/>
      </w:numPr>
    </w:pPr>
  </w:style>
  <w:style w:type="table" w:customStyle="1" w:styleId="TableGrid1">
    <w:name w:val="Table Grid1"/>
    <w:basedOn w:val="TableNormal"/>
    <w:next w:val="TableGrid"/>
    <w:rsid w:val="00C3162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32CE"/>
    <w:rPr>
      <w:color w:val="165788" w:themeColor="hyperlink"/>
      <w:u w:val="single"/>
    </w:rPr>
  </w:style>
  <w:style w:type="character" w:styleId="UnresolvedMention">
    <w:name w:val="Unresolved Mention"/>
    <w:basedOn w:val="DefaultParagraphFont"/>
    <w:uiPriority w:val="99"/>
    <w:semiHidden/>
    <w:unhideWhenUsed/>
    <w:rsid w:val="009B32CE"/>
    <w:rPr>
      <w:color w:val="605E5C"/>
      <w:shd w:val="clear" w:color="auto" w:fill="E1DFDD"/>
    </w:rPr>
  </w:style>
  <w:style w:type="numbering" w:customStyle="1" w:styleId="CurrentList61">
    <w:name w:val="CurrentList61"/>
    <w:rsid w:val="00701078"/>
  </w:style>
  <w:style w:type="table" w:customStyle="1" w:styleId="TableGrid2">
    <w:name w:val="Table Grid2"/>
    <w:basedOn w:val="TableNormal"/>
    <w:next w:val="TableGrid"/>
    <w:rsid w:val="00ED641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057">
      <w:bodyDiv w:val="1"/>
      <w:marLeft w:val="0"/>
      <w:marRight w:val="0"/>
      <w:marTop w:val="0"/>
      <w:marBottom w:val="0"/>
      <w:divBdr>
        <w:top w:val="none" w:sz="0" w:space="0" w:color="auto"/>
        <w:left w:val="none" w:sz="0" w:space="0" w:color="auto"/>
        <w:bottom w:val="none" w:sz="0" w:space="0" w:color="auto"/>
        <w:right w:val="none" w:sz="0" w:space="0" w:color="auto"/>
      </w:divBdr>
    </w:div>
    <w:div w:id="66193383">
      <w:bodyDiv w:val="1"/>
      <w:marLeft w:val="0"/>
      <w:marRight w:val="0"/>
      <w:marTop w:val="0"/>
      <w:marBottom w:val="0"/>
      <w:divBdr>
        <w:top w:val="none" w:sz="0" w:space="0" w:color="auto"/>
        <w:left w:val="none" w:sz="0" w:space="0" w:color="auto"/>
        <w:bottom w:val="none" w:sz="0" w:space="0" w:color="auto"/>
        <w:right w:val="none" w:sz="0" w:space="0" w:color="auto"/>
      </w:divBdr>
    </w:div>
    <w:div w:id="97331050">
      <w:bodyDiv w:val="1"/>
      <w:marLeft w:val="0"/>
      <w:marRight w:val="0"/>
      <w:marTop w:val="0"/>
      <w:marBottom w:val="0"/>
      <w:divBdr>
        <w:top w:val="none" w:sz="0" w:space="0" w:color="auto"/>
        <w:left w:val="none" w:sz="0" w:space="0" w:color="auto"/>
        <w:bottom w:val="none" w:sz="0" w:space="0" w:color="auto"/>
        <w:right w:val="none" w:sz="0" w:space="0" w:color="auto"/>
      </w:divBdr>
    </w:div>
    <w:div w:id="219826538">
      <w:bodyDiv w:val="1"/>
      <w:marLeft w:val="0"/>
      <w:marRight w:val="0"/>
      <w:marTop w:val="0"/>
      <w:marBottom w:val="0"/>
      <w:divBdr>
        <w:top w:val="none" w:sz="0" w:space="0" w:color="auto"/>
        <w:left w:val="none" w:sz="0" w:space="0" w:color="auto"/>
        <w:bottom w:val="none" w:sz="0" w:space="0" w:color="auto"/>
        <w:right w:val="none" w:sz="0" w:space="0" w:color="auto"/>
      </w:divBdr>
    </w:div>
    <w:div w:id="275142429">
      <w:bodyDiv w:val="1"/>
      <w:marLeft w:val="0"/>
      <w:marRight w:val="0"/>
      <w:marTop w:val="0"/>
      <w:marBottom w:val="0"/>
      <w:divBdr>
        <w:top w:val="none" w:sz="0" w:space="0" w:color="auto"/>
        <w:left w:val="none" w:sz="0" w:space="0" w:color="auto"/>
        <w:bottom w:val="none" w:sz="0" w:space="0" w:color="auto"/>
        <w:right w:val="none" w:sz="0" w:space="0" w:color="auto"/>
      </w:divBdr>
    </w:div>
    <w:div w:id="307714562">
      <w:bodyDiv w:val="1"/>
      <w:marLeft w:val="0"/>
      <w:marRight w:val="0"/>
      <w:marTop w:val="0"/>
      <w:marBottom w:val="0"/>
      <w:divBdr>
        <w:top w:val="none" w:sz="0" w:space="0" w:color="auto"/>
        <w:left w:val="none" w:sz="0" w:space="0" w:color="auto"/>
        <w:bottom w:val="none" w:sz="0" w:space="0" w:color="auto"/>
        <w:right w:val="none" w:sz="0" w:space="0" w:color="auto"/>
      </w:divBdr>
    </w:div>
    <w:div w:id="371349880">
      <w:bodyDiv w:val="1"/>
      <w:marLeft w:val="0"/>
      <w:marRight w:val="0"/>
      <w:marTop w:val="0"/>
      <w:marBottom w:val="0"/>
      <w:divBdr>
        <w:top w:val="none" w:sz="0" w:space="0" w:color="auto"/>
        <w:left w:val="none" w:sz="0" w:space="0" w:color="auto"/>
        <w:bottom w:val="none" w:sz="0" w:space="0" w:color="auto"/>
        <w:right w:val="none" w:sz="0" w:space="0" w:color="auto"/>
      </w:divBdr>
    </w:div>
    <w:div w:id="379791642">
      <w:bodyDiv w:val="1"/>
      <w:marLeft w:val="0"/>
      <w:marRight w:val="0"/>
      <w:marTop w:val="0"/>
      <w:marBottom w:val="0"/>
      <w:divBdr>
        <w:top w:val="none" w:sz="0" w:space="0" w:color="auto"/>
        <w:left w:val="none" w:sz="0" w:space="0" w:color="auto"/>
        <w:bottom w:val="none" w:sz="0" w:space="0" w:color="auto"/>
        <w:right w:val="none" w:sz="0" w:space="0" w:color="auto"/>
      </w:divBdr>
    </w:div>
    <w:div w:id="420103085">
      <w:bodyDiv w:val="1"/>
      <w:marLeft w:val="0"/>
      <w:marRight w:val="0"/>
      <w:marTop w:val="0"/>
      <w:marBottom w:val="0"/>
      <w:divBdr>
        <w:top w:val="none" w:sz="0" w:space="0" w:color="auto"/>
        <w:left w:val="none" w:sz="0" w:space="0" w:color="auto"/>
        <w:bottom w:val="none" w:sz="0" w:space="0" w:color="auto"/>
        <w:right w:val="none" w:sz="0" w:space="0" w:color="auto"/>
      </w:divBdr>
    </w:div>
    <w:div w:id="447626114">
      <w:bodyDiv w:val="1"/>
      <w:marLeft w:val="0"/>
      <w:marRight w:val="0"/>
      <w:marTop w:val="0"/>
      <w:marBottom w:val="0"/>
      <w:divBdr>
        <w:top w:val="none" w:sz="0" w:space="0" w:color="auto"/>
        <w:left w:val="none" w:sz="0" w:space="0" w:color="auto"/>
        <w:bottom w:val="none" w:sz="0" w:space="0" w:color="auto"/>
        <w:right w:val="none" w:sz="0" w:space="0" w:color="auto"/>
      </w:divBdr>
    </w:div>
    <w:div w:id="447941069">
      <w:bodyDiv w:val="1"/>
      <w:marLeft w:val="0"/>
      <w:marRight w:val="0"/>
      <w:marTop w:val="0"/>
      <w:marBottom w:val="0"/>
      <w:divBdr>
        <w:top w:val="none" w:sz="0" w:space="0" w:color="auto"/>
        <w:left w:val="none" w:sz="0" w:space="0" w:color="auto"/>
        <w:bottom w:val="none" w:sz="0" w:space="0" w:color="auto"/>
        <w:right w:val="none" w:sz="0" w:space="0" w:color="auto"/>
      </w:divBdr>
    </w:div>
    <w:div w:id="554702852">
      <w:bodyDiv w:val="1"/>
      <w:marLeft w:val="0"/>
      <w:marRight w:val="0"/>
      <w:marTop w:val="0"/>
      <w:marBottom w:val="0"/>
      <w:divBdr>
        <w:top w:val="none" w:sz="0" w:space="0" w:color="auto"/>
        <w:left w:val="none" w:sz="0" w:space="0" w:color="auto"/>
        <w:bottom w:val="none" w:sz="0" w:space="0" w:color="auto"/>
        <w:right w:val="none" w:sz="0" w:space="0" w:color="auto"/>
      </w:divBdr>
    </w:div>
    <w:div w:id="667096126">
      <w:bodyDiv w:val="1"/>
      <w:marLeft w:val="0"/>
      <w:marRight w:val="0"/>
      <w:marTop w:val="0"/>
      <w:marBottom w:val="0"/>
      <w:divBdr>
        <w:top w:val="none" w:sz="0" w:space="0" w:color="auto"/>
        <w:left w:val="none" w:sz="0" w:space="0" w:color="auto"/>
        <w:bottom w:val="none" w:sz="0" w:space="0" w:color="auto"/>
        <w:right w:val="none" w:sz="0" w:space="0" w:color="auto"/>
      </w:divBdr>
    </w:div>
    <w:div w:id="691420591">
      <w:bodyDiv w:val="1"/>
      <w:marLeft w:val="0"/>
      <w:marRight w:val="0"/>
      <w:marTop w:val="0"/>
      <w:marBottom w:val="0"/>
      <w:divBdr>
        <w:top w:val="none" w:sz="0" w:space="0" w:color="auto"/>
        <w:left w:val="none" w:sz="0" w:space="0" w:color="auto"/>
        <w:bottom w:val="none" w:sz="0" w:space="0" w:color="auto"/>
        <w:right w:val="none" w:sz="0" w:space="0" w:color="auto"/>
      </w:divBdr>
    </w:div>
    <w:div w:id="718475980">
      <w:bodyDiv w:val="1"/>
      <w:marLeft w:val="0"/>
      <w:marRight w:val="0"/>
      <w:marTop w:val="0"/>
      <w:marBottom w:val="0"/>
      <w:divBdr>
        <w:top w:val="none" w:sz="0" w:space="0" w:color="auto"/>
        <w:left w:val="none" w:sz="0" w:space="0" w:color="auto"/>
        <w:bottom w:val="none" w:sz="0" w:space="0" w:color="auto"/>
        <w:right w:val="none" w:sz="0" w:space="0" w:color="auto"/>
      </w:divBdr>
    </w:div>
    <w:div w:id="719207859">
      <w:bodyDiv w:val="1"/>
      <w:marLeft w:val="0"/>
      <w:marRight w:val="0"/>
      <w:marTop w:val="0"/>
      <w:marBottom w:val="0"/>
      <w:divBdr>
        <w:top w:val="none" w:sz="0" w:space="0" w:color="auto"/>
        <w:left w:val="none" w:sz="0" w:space="0" w:color="auto"/>
        <w:bottom w:val="none" w:sz="0" w:space="0" w:color="auto"/>
        <w:right w:val="none" w:sz="0" w:space="0" w:color="auto"/>
      </w:divBdr>
    </w:div>
    <w:div w:id="727920753">
      <w:bodyDiv w:val="1"/>
      <w:marLeft w:val="0"/>
      <w:marRight w:val="0"/>
      <w:marTop w:val="0"/>
      <w:marBottom w:val="0"/>
      <w:divBdr>
        <w:top w:val="none" w:sz="0" w:space="0" w:color="auto"/>
        <w:left w:val="none" w:sz="0" w:space="0" w:color="auto"/>
        <w:bottom w:val="none" w:sz="0" w:space="0" w:color="auto"/>
        <w:right w:val="none" w:sz="0" w:space="0" w:color="auto"/>
      </w:divBdr>
    </w:div>
    <w:div w:id="845486518">
      <w:bodyDiv w:val="1"/>
      <w:marLeft w:val="0"/>
      <w:marRight w:val="0"/>
      <w:marTop w:val="0"/>
      <w:marBottom w:val="0"/>
      <w:divBdr>
        <w:top w:val="none" w:sz="0" w:space="0" w:color="auto"/>
        <w:left w:val="none" w:sz="0" w:space="0" w:color="auto"/>
        <w:bottom w:val="none" w:sz="0" w:space="0" w:color="auto"/>
        <w:right w:val="none" w:sz="0" w:space="0" w:color="auto"/>
      </w:divBdr>
    </w:div>
    <w:div w:id="1006058152">
      <w:bodyDiv w:val="1"/>
      <w:marLeft w:val="0"/>
      <w:marRight w:val="0"/>
      <w:marTop w:val="0"/>
      <w:marBottom w:val="0"/>
      <w:divBdr>
        <w:top w:val="none" w:sz="0" w:space="0" w:color="auto"/>
        <w:left w:val="none" w:sz="0" w:space="0" w:color="auto"/>
        <w:bottom w:val="none" w:sz="0" w:space="0" w:color="auto"/>
        <w:right w:val="none" w:sz="0" w:space="0" w:color="auto"/>
      </w:divBdr>
    </w:div>
    <w:div w:id="1085954200">
      <w:bodyDiv w:val="1"/>
      <w:marLeft w:val="0"/>
      <w:marRight w:val="0"/>
      <w:marTop w:val="0"/>
      <w:marBottom w:val="0"/>
      <w:divBdr>
        <w:top w:val="none" w:sz="0" w:space="0" w:color="auto"/>
        <w:left w:val="none" w:sz="0" w:space="0" w:color="auto"/>
        <w:bottom w:val="none" w:sz="0" w:space="0" w:color="auto"/>
        <w:right w:val="none" w:sz="0" w:space="0" w:color="auto"/>
      </w:divBdr>
    </w:div>
    <w:div w:id="1254434179">
      <w:bodyDiv w:val="1"/>
      <w:marLeft w:val="0"/>
      <w:marRight w:val="0"/>
      <w:marTop w:val="0"/>
      <w:marBottom w:val="0"/>
      <w:divBdr>
        <w:top w:val="none" w:sz="0" w:space="0" w:color="auto"/>
        <w:left w:val="none" w:sz="0" w:space="0" w:color="auto"/>
        <w:bottom w:val="none" w:sz="0" w:space="0" w:color="auto"/>
        <w:right w:val="none" w:sz="0" w:space="0" w:color="auto"/>
      </w:divBdr>
    </w:div>
    <w:div w:id="1271663691">
      <w:bodyDiv w:val="1"/>
      <w:marLeft w:val="0"/>
      <w:marRight w:val="0"/>
      <w:marTop w:val="0"/>
      <w:marBottom w:val="0"/>
      <w:divBdr>
        <w:top w:val="none" w:sz="0" w:space="0" w:color="auto"/>
        <w:left w:val="none" w:sz="0" w:space="0" w:color="auto"/>
        <w:bottom w:val="none" w:sz="0" w:space="0" w:color="auto"/>
        <w:right w:val="none" w:sz="0" w:space="0" w:color="auto"/>
      </w:divBdr>
    </w:div>
    <w:div w:id="1295405673">
      <w:bodyDiv w:val="1"/>
      <w:marLeft w:val="0"/>
      <w:marRight w:val="0"/>
      <w:marTop w:val="0"/>
      <w:marBottom w:val="0"/>
      <w:divBdr>
        <w:top w:val="none" w:sz="0" w:space="0" w:color="auto"/>
        <w:left w:val="none" w:sz="0" w:space="0" w:color="auto"/>
        <w:bottom w:val="none" w:sz="0" w:space="0" w:color="auto"/>
        <w:right w:val="none" w:sz="0" w:space="0" w:color="auto"/>
      </w:divBdr>
    </w:div>
    <w:div w:id="1311447866">
      <w:bodyDiv w:val="1"/>
      <w:marLeft w:val="0"/>
      <w:marRight w:val="0"/>
      <w:marTop w:val="0"/>
      <w:marBottom w:val="0"/>
      <w:divBdr>
        <w:top w:val="none" w:sz="0" w:space="0" w:color="auto"/>
        <w:left w:val="none" w:sz="0" w:space="0" w:color="auto"/>
        <w:bottom w:val="none" w:sz="0" w:space="0" w:color="auto"/>
        <w:right w:val="none" w:sz="0" w:space="0" w:color="auto"/>
      </w:divBdr>
    </w:div>
    <w:div w:id="1395081175">
      <w:bodyDiv w:val="1"/>
      <w:marLeft w:val="0"/>
      <w:marRight w:val="0"/>
      <w:marTop w:val="0"/>
      <w:marBottom w:val="0"/>
      <w:divBdr>
        <w:top w:val="none" w:sz="0" w:space="0" w:color="auto"/>
        <w:left w:val="none" w:sz="0" w:space="0" w:color="auto"/>
        <w:bottom w:val="none" w:sz="0" w:space="0" w:color="auto"/>
        <w:right w:val="none" w:sz="0" w:space="0" w:color="auto"/>
      </w:divBdr>
    </w:div>
    <w:div w:id="1461681312">
      <w:bodyDiv w:val="1"/>
      <w:marLeft w:val="0"/>
      <w:marRight w:val="0"/>
      <w:marTop w:val="0"/>
      <w:marBottom w:val="0"/>
      <w:divBdr>
        <w:top w:val="none" w:sz="0" w:space="0" w:color="auto"/>
        <w:left w:val="none" w:sz="0" w:space="0" w:color="auto"/>
        <w:bottom w:val="none" w:sz="0" w:space="0" w:color="auto"/>
        <w:right w:val="none" w:sz="0" w:space="0" w:color="auto"/>
      </w:divBdr>
    </w:div>
    <w:div w:id="1556624903">
      <w:bodyDiv w:val="1"/>
      <w:marLeft w:val="0"/>
      <w:marRight w:val="0"/>
      <w:marTop w:val="0"/>
      <w:marBottom w:val="0"/>
      <w:divBdr>
        <w:top w:val="none" w:sz="0" w:space="0" w:color="auto"/>
        <w:left w:val="none" w:sz="0" w:space="0" w:color="auto"/>
        <w:bottom w:val="none" w:sz="0" w:space="0" w:color="auto"/>
        <w:right w:val="none" w:sz="0" w:space="0" w:color="auto"/>
      </w:divBdr>
    </w:div>
    <w:div w:id="1625303808">
      <w:bodyDiv w:val="1"/>
      <w:marLeft w:val="0"/>
      <w:marRight w:val="0"/>
      <w:marTop w:val="0"/>
      <w:marBottom w:val="0"/>
      <w:divBdr>
        <w:top w:val="none" w:sz="0" w:space="0" w:color="auto"/>
        <w:left w:val="none" w:sz="0" w:space="0" w:color="auto"/>
        <w:bottom w:val="none" w:sz="0" w:space="0" w:color="auto"/>
        <w:right w:val="none" w:sz="0" w:space="0" w:color="auto"/>
      </w:divBdr>
    </w:div>
    <w:div w:id="1629507246">
      <w:bodyDiv w:val="1"/>
      <w:marLeft w:val="0"/>
      <w:marRight w:val="0"/>
      <w:marTop w:val="0"/>
      <w:marBottom w:val="0"/>
      <w:divBdr>
        <w:top w:val="none" w:sz="0" w:space="0" w:color="auto"/>
        <w:left w:val="none" w:sz="0" w:space="0" w:color="auto"/>
        <w:bottom w:val="none" w:sz="0" w:space="0" w:color="auto"/>
        <w:right w:val="none" w:sz="0" w:space="0" w:color="auto"/>
      </w:divBdr>
    </w:div>
    <w:div w:id="1764958828">
      <w:bodyDiv w:val="1"/>
      <w:marLeft w:val="0"/>
      <w:marRight w:val="0"/>
      <w:marTop w:val="0"/>
      <w:marBottom w:val="0"/>
      <w:divBdr>
        <w:top w:val="none" w:sz="0" w:space="0" w:color="auto"/>
        <w:left w:val="none" w:sz="0" w:space="0" w:color="auto"/>
        <w:bottom w:val="none" w:sz="0" w:space="0" w:color="auto"/>
        <w:right w:val="none" w:sz="0" w:space="0" w:color="auto"/>
      </w:divBdr>
    </w:div>
    <w:div w:id="2118862399">
      <w:bodyDiv w:val="1"/>
      <w:marLeft w:val="0"/>
      <w:marRight w:val="0"/>
      <w:marTop w:val="0"/>
      <w:marBottom w:val="0"/>
      <w:divBdr>
        <w:top w:val="none" w:sz="0" w:space="0" w:color="auto"/>
        <w:left w:val="none" w:sz="0" w:space="0" w:color="auto"/>
        <w:bottom w:val="none" w:sz="0" w:space="0" w:color="auto"/>
        <w:right w:val="none" w:sz="0" w:space="0" w:color="auto"/>
      </w:divBdr>
    </w:div>
    <w:div w:id="2136674264">
      <w:bodyDiv w:val="1"/>
      <w:marLeft w:val="0"/>
      <w:marRight w:val="0"/>
      <w:marTop w:val="0"/>
      <w:marBottom w:val="0"/>
      <w:divBdr>
        <w:top w:val="none" w:sz="0" w:space="0" w:color="auto"/>
        <w:left w:val="none" w:sz="0" w:space="0" w:color="auto"/>
        <w:bottom w:val="none" w:sz="0" w:space="0" w:color="auto"/>
        <w:right w:val="none" w:sz="0" w:space="0" w:color="auto"/>
      </w:divBdr>
    </w:div>
    <w:div w:id="213675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https://d.docs.live.net/5313540e2415c9d4/Documents/USPS%20info/USPS%20Statistics/%5eMCPI%20cap.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d.docs.live.net/5313540e2415c9d4/Documents/USPS%20info/USPS%20Statistics/%5eMCPI%20cap.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723083856942124"/>
          <c:y val="7.8500170117624182E-2"/>
          <c:w val="0.79845568546355927"/>
          <c:h val="0.59284245849600303"/>
        </c:manualLayout>
      </c:layout>
      <c:lineChart>
        <c:grouping val="standard"/>
        <c:varyColors val="0"/>
        <c:ser>
          <c:idx val="0"/>
          <c:order val="0"/>
          <c:spPr>
            <a:ln w="19050">
              <a:solidFill>
                <a:srgbClr val="FF0000"/>
              </a:solidFill>
              <a:prstDash val="solid"/>
            </a:ln>
          </c:spPr>
          <c:marker>
            <c:symbol val="diamond"/>
            <c:size val="4"/>
            <c:spPr>
              <a:solidFill>
                <a:srgbClr val="000080"/>
              </a:solidFill>
              <a:ln>
                <a:solidFill>
                  <a:srgbClr val="000080"/>
                </a:solidFill>
                <a:prstDash val="solid"/>
              </a:ln>
            </c:spPr>
          </c:marker>
          <c:cat>
            <c:numRef>
              <c:f>'[^MCPI cap.xlsx]Monthly cap'!$A$183:$A$207</c:f>
              <c:numCache>
                <c:formatCode>mmm\-yy</c:formatCode>
                <c:ptCount val="25"/>
                <c:pt idx="0">
                  <c:v>44605</c:v>
                </c:pt>
                <c:pt idx="1">
                  <c:v>44633</c:v>
                </c:pt>
                <c:pt idx="2">
                  <c:v>44664</c:v>
                </c:pt>
                <c:pt idx="3">
                  <c:v>44694</c:v>
                </c:pt>
                <c:pt idx="4">
                  <c:v>44725</c:v>
                </c:pt>
                <c:pt idx="5">
                  <c:v>44755</c:v>
                </c:pt>
                <c:pt idx="6">
                  <c:v>44786</c:v>
                </c:pt>
                <c:pt idx="7">
                  <c:v>44817</c:v>
                </c:pt>
                <c:pt idx="8">
                  <c:v>44847</c:v>
                </c:pt>
                <c:pt idx="9">
                  <c:v>44878</c:v>
                </c:pt>
                <c:pt idx="10">
                  <c:v>44908</c:v>
                </c:pt>
                <c:pt idx="11">
                  <c:v>44939</c:v>
                </c:pt>
                <c:pt idx="12">
                  <c:v>44970</c:v>
                </c:pt>
                <c:pt idx="13">
                  <c:v>44998</c:v>
                </c:pt>
                <c:pt idx="14">
                  <c:v>45029</c:v>
                </c:pt>
                <c:pt idx="15">
                  <c:v>45059</c:v>
                </c:pt>
                <c:pt idx="16">
                  <c:v>45090</c:v>
                </c:pt>
                <c:pt idx="17">
                  <c:v>45120</c:v>
                </c:pt>
                <c:pt idx="18">
                  <c:v>45151</c:v>
                </c:pt>
                <c:pt idx="19">
                  <c:v>45182</c:v>
                </c:pt>
                <c:pt idx="20">
                  <c:v>45212</c:v>
                </c:pt>
                <c:pt idx="21">
                  <c:v>45243</c:v>
                </c:pt>
                <c:pt idx="22">
                  <c:v>45273</c:v>
                </c:pt>
                <c:pt idx="23">
                  <c:v>45304</c:v>
                </c:pt>
                <c:pt idx="24">
                  <c:v>45335</c:v>
                </c:pt>
              </c:numCache>
            </c:numRef>
          </c:cat>
          <c:val>
            <c:numRef>
              <c:f>'[^MCPI cap.xlsx]Monthly cap'!$E$183:$E$207</c:f>
              <c:numCache>
                <c:formatCode>0.000</c:formatCode>
                <c:ptCount val="25"/>
                <c:pt idx="0">
                  <c:v>0.51800000000000002</c:v>
                </c:pt>
                <c:pt idx="1">
                  <c:v>0.496</c:v>
                </c:pt>
                <c:pt idx="2">
                  <c:v>0.34300000000000003</c:v>
                </c:pt>
                <c:pt idx="3">
                  <c:v>0.3</c:v>
                </c:pt>
                <c:pt idx="4">
                  <c:v>0.31</c:v>
                </c:pt>
                <c:pt idx="5">
                  <c:v>0.26400000000000001</c:v>
                </c:pt>
                <c:pt idx="6">
                  <c:v>0.249</c:v>
                </c:pt>
                <c:pt idx="7">
                  <c:v>0.23100000000000001</c:v>
                </c:pt>
                <c:pt idx="8">
                  <c:v>0.123</c:v>
                </c:pt>
                <c:pt idx="9">
                  <c:v>1.9E-2</c:v>
                </c:pt>
                <c:pt idx="10">
                  <c:v>-5.5E-2</c:v>
                </c:pt>
                <c:pt idx="11">
                  <c:v>-9.5000000000000001E-2</c:v>
                </c:pt>
                <c:pt idx="12">
                  <c:v>-0.159</c:v>
                </c:pt>
                <c:pt idx="13">
                  <c:v>-0.30299999999999999</c:v>
                </c:pt>
                <c:pt idx="14">
                  <c:v>-0.28299999999999997</c:v>
                </c:pt>
                <c:pt idx="15">
                  <c:v>-0.38500000000000001</c:v>
                </c:pt>
                <c:pt idx="16">
                  <c:v>-0.51600000000000001</c:v>
                </c:pt>
                <c:pt idx="17">
                  <c:v>-0.45</c:v>
                </c:pt>
                <c:pt idx="18">
                  <c:v>-0.38100000000000001</c:v>
                </c:pt>
                <c:pt idx="19">
                  <c:v>-0.36899999999999999</c:v>
                </c:pt>
                <c:pt idx="20">
                  <c:v>-0.37</c:v>
                </c:pt>
                <c:pt idx="21">
                  <c:v>-0.32500000000000001</c:v>
                </c:pt>
                <c:pt idx="22">
                  <c:v>-0.251</c:v>
                </c:pt>
                <c:pt idx="23">
                  <c:v>-0.26900000000000002</c:v>
                </c:pt>
                <c:pt idx="24">
                  <c:v>-0.23400000000000001</c:v>
                </c:pt>
              </c:numCache>
            </c:numRef>
          </c:val>
          <c:smooth val="0"/>
          <c:extLst>
            <c:ext xmlns:c16="http://schemas.microsoft.com/office/drawing/2014/chart" uri="{C3380CC4-5D6E-409C-BE32-E72D297353CC}">
              <c16:uniqueId val="{00000000-A0AE-4AD7-A48B-D87B70C9D2EB}"/>
            </c:ext>
          </c:extLst>
        </c:ser>
        <c:dLbls>
          <c:showLegendKey val="0"/>
          <c:showVal val="0"/>
          <c:showCatName val="0"/>
          <c:showSerName val="0"/>
          <c:showPercent val="0"/>
          <c:showBubbleSize val="0"/>
        </c:dLbls>
        <c:marker val="1"/>
        <c:smooth val="0"/>
        <c:axId val="136905088"/>
        <c:axId val="136907008"/>
      </c:lineChart>
      <c:dateAx>
        <c:axId val="136905088"/>
        <c:scaling>
          <c:orientation val="minMax"/>
        </c:scaling>
        <c:delete val="0"/>
        <c:axPos val="b"/>
        <c:majorGridlines>
          <c:spPr>
            <a:ln w="3175">
              <a:solidFill>
                <a:srgbClr val="C0C0C0"/>
              </a:solidFill>
              <a:prstDash val="solid"/>
            </a:ln>
          </c:spPr>
        </c:majorGridlines>
        <c:title>
          <c:tx>
            <c:rich>
              <a:bodyPr/>
              <a:lstStyle/>
              <a:p>
                <a:pPr>
                  <a:defRPr sz="800" b="1" i="0" u="none" strike="noStrike" baseline="0">
                    <a:solidFill>
                      <a:srgbClr val="000000"/>
                    </a:solidFill>
                    <a:latin typeface="+mn-lt"/>
                    <a:ea typeface="Arial"/>
                    <a:cs typeface="Arial"/>
                  </a:defRPr>
                </a:pPr>
                <a:r>
                  <a:rPr lang="en-US" sz="800">
                    <a:latin typeface="+mn-lt"/>
                  </a:rPr>
                  <a:t>Month of Calculation</a:t>
                </a:r>
              </a:p>
            </c:rich>
          </c:tx>
          <c:layout>
            <c:manualLayout>
              <c:xMode val="edge"/>
              <c:yMode val="edge"/>
              <c:x val="0.34233443357459109"/>
              <c:y val="0.90718112360027836"/>
            </c:manualLayout>
          </c:layout>
          <c:overlay val="0"/>
          <c:spPr>
            <a:noFill/>
            <a:ln w="25400">
              <a:noFill/>
            </a:ln>
          </c:spPr>
        </c:title>
        <c:numFmt formatCode="[$-409]mmm\-yy;@" sourceLinked="0"/>
        <c:majorTickMark val="out"/>
        <c:minorTickMark val="out"/>
        <c:tickLblPos val="low"/>
        <c:spPr>
          <a:ln w="25400">
            <a:solidFill>
              <a:srgbClr val="000000"/>
            </a:solidFill>
            <a:prstDash val="solid"/>
          </a:ln>
        </c:spPr>
        <c:txPr>
          <a:bodyPr rot="-2700000" vert="horz"/>
          <a:lstStyle/>
          <a:p>
            <a:pPr>
              <a:defRPr sz="800" b="0" i="0" u="none" strike="noStrike" baseline="0">
                <a:solidFill>
                  <a:srgbClr val="000000"/>
                </a:solidFill>
                <a:latin typeface="+mn-lt"/>
                <a:ea typeface="Arial"/>
                <a:cs typeface="Arial"/>
              </a:defRPr>
            </a:pPr>
            <a:endParaRPr lang="en-US"/>
          </a:p>
        </c:txPr>
        <c:crossAx val="136907008"/>
        <c:crosses val="autoZero"/>
        <c:auto val="1"/>
        <c:lblOffset val="180"/>
        <c:baseTimeUnit val="months"/>
        <c:majorUnit val="2"/>
        <c:majorTimeUnit val="months"/>
        <c:minorUnit val="1"/>
        <c:minorTimeUnit val="months"/>
      </c:dateAx>
      <c:valAx>
        <c:axId val="136907008"/>
        <c:scaling>
          <c:orientation val="minMax"/>
        </c:scaling>
        <c:delete val="0"/>
        <c:axPos val="l"/>
        <c:majorGridlines>
          <c:spPr>
            <a:ln w="3175">
              <a:solidFill>
                <a:srgbClr val="C0C0C0"/>
              </a:solidFill>
              <a:prstDash val="solid"/>
            </a:ln>
          </c:spPr>
        </c:majorGridlines>
        <c:title>
          <c:tx>
            <c:rich>
              <a:bodyPr anchor="t" anchorCtr="1"/>
              <a:lstStyle/>
              <a:p>
                <a:pPr>
                  <a:defRPr sz="800" b="1" i="0" u="none" strike="noStrike" baseline="0">
                    <a:solidFill>
                      <a:srgbClr val="000000"/>
                    </a:solidFill>
                    <a:latin typeface="+mn-lt"/>
                    <a:ea typeface="Arial"/>
                    <a:cs typeface="Arial"/>
                  </a:defRPr>
                </a:pPr>
                <a:r>
                  <a:rPr lang="en-US" sz="800">
                    <a:latin typeface="+mn-lt"/>
                  </a:rPr>
                  <a:t>Month-over-Month Change</a:t>
                </a:r>
              </a:p>
            </c:rich>
          </c:tx>
          <c:layout>
            <c:manualLayout>
              <c:xMode val="edge"/>
              <c:yMode val="edge"/>
              <c:x val="1.2082769956785705E-2"/>
              <c:y val="0.16219145061351489"/>
            </c:manualLayout>
          </c:layout>
          <c:overlay val="0"/>
          <c:spPr>
            <a:noFill/>
            <a:ln w="25400">
              <a:noFill/>
            </a:ln>
          </c:spPr>
        </c:title>
        <c:numFmt formatCode="0.0" sourceLinked="0"/>
        <c:majorTickMark val="out"/>
        <c:minorTickMark val="out"/>
        <c:tickLblPos val="nextTo"/>
        <c:spPr>
          <a:ln w="9525">
            <a:noFill/>
          </a:ln>
        </c:spPr>
        <c:txPr>
          <a:bodyPr rot="0" vert="horz"/>
          <a:lstStyle/>
          <a:p>
            <a:pPr>
              <a:defRPr sz="800" b="0" i="0" u="none" strike="noStrike" baseline="0">
                <a:solidFill>
                  <a:srgbClr val="000000"/>
                </a:solidFill>
                <a:latin typeface="+mn-lt"/>
                <a:ea typeface="Arial"/>
                <a:cs typeface="Arial"/>
              </a:defRPr>
            </a:pPr>
            <a:endParaRPr lang="en-US"/>
          </a:p>
        </c:txPr>
        <c:crossAx val="136905088"/>
        <c:crosses val="autoZero"/>
        <c:crossBetween val="midCat"/>
      </c:valAx>
      <c:spPr>
        <a:pattFill prst="pct5">
          <a:fgClr>
            <a:srgbClr val="FFFFFF"/>
          </a:fgClr>
          <a:bgClr>
            <a:srgbClr val="FFFFFF"/>
          </a:bgClr>
        </a:pattFill>
        <a:ln w="3175">
          <a:solidFill>
            <a:srgbClr val="000000"/>
          </a:solidFill>
          <a:prstDash val="solid"/>
        </a:ln>
      </c:spPr>
    </c:plotArea>
    <c:plotVisOnly val="1"/>
    <c:dispBlanksAs val="gap"/>
    <c:showDLblsOverMax val="0"/>
  </c:chart>
  <c:spPr>
    <a:solidFill>
      <a:srgbClr val="FFFFFF"/>
    </a:solidFill>
    <a:ln w="3175">
      <a:solidFill>
        <a:schemeClr val="tx1"/>
      </a:solidFill>
      <a:prstDash val="solid"/>
    </a:ln>
  </c:spPr>
  <c:txPr>
    <a:bodyPr/>
    <a:lstStyle/>
    <a:p>
      <a:pPr>
        <a:defRPr sz="1025"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085997773005647"/>
          <c:y val="3.5690933370170833E-2"/>
          <c:w val="0.79482641446214242"/>
          <c:h val="0.66036652413259844"/>
        </c:manualLayout>
      </c:layout>
      <c:lineChart>
        <c:grouping val="standard"/>
        <c:varyColors val="0"/>
        <c:ser>
          <c:idx val="0"/>
          <c:order val="0"/>
          <c:spPr>
            <a:ln w="19050">
              <a:solidFill>
                <a:srgbClr val="FF0000"/>
              </a:solidFill>
              <a:prstDash val="solid"/>
            </a:ln>
          </c:spPr>
          <c:marker>
            <c:symbol val="diamond"/>
            <c:size val="4"/>
            <c:spPr>
              <a:solidFill>
                <a:srgbClr val="000080"/>
              </a:solidFill>
              <a:ln>
                <a:solidFill>
                  <a:srgbClr val="000080"/>
                </a:solidFill>
                <a:prstDash val="solid"/>
              </a:ln>
            </c:spPr>
          </c:marker>
          <c:cat>
            <c:numRef>
              <c:f>'[^MCPI cap.xlsx]Monthly cap'!$A$183:$A$207</c:f>
              <c:numCache>
                <c:formatCode>mmm\-yy</c:formatCode>
                <c:ptCount val="25"/>
                <c:pt idx="0">
                  <c:v>44605</c:v>
                </c:pt>
                <c:pt idx="1">
                  <c:v>44633</c:v>
                </c:pt>
                <c:pt idx="2">
                  <c:v>44664</c:v>
                </c:pt>
                <c:pt idx="3">
                  <c:v>44694</c:v>
                </c:pt>
                <c:pt idx="4">
                  <c:v>44725</c:v>
                </c:pt>
                <c:pt idx="5">
                  <c:v>44755</c:v>
                </c:pt>
                <c:pt idx="6">
                  <c:v>44786</c:v>
                </c:pt>
                <c:pt idx="7">
                  <c:v>44817</c:v>
                </c:pt>
                <c:pt idx="8">
                  <c:v>44847</c:v>
                </c:pt>
                <c:pt idx="9">
                  <c:v>44878</c:v>
                </c:pt>
                <c:pt idx="10">
                  <c:v>44908</c:v>
                </c:pt>
                <c:pt idx="11">
                  <c:v>44939</c:v>
                </c:pt>
                <c:pt idx="12">
                  <c:v>44970</c:v>
                </c:pt>
                <c:pt idx="13">
                  <c:v>44998</c:v>
                </c:pt>
                <c:pt idx="14">
                  <c:v>45029</c:v>
                </c:pt>
                <c:pt idx="15">
                  <c:v>45059</c:v>
                </c:pt>
                <c:pt idx="16">
                  <c:v>45090</c:v>
                </c:pt>
                <c:pt idx="17">
                  <c:v>45120</c:v>
                </c:pt>
                <c:pt idx="18">
                  <c:v>45151</c:v>
                </c:pt>
                <c:pt idx="19">
                  <c:v>45182</c:v>
                </c:pt>
                <c:pt idx="20">
                  <c:v>45212</c:v>
                </c:pt>
                <c:pt idx="21">
                  <c:v>45243</c:v>
                </c:pt>
                <c:pt idx="22">
                  <c:v>45273</c:v>
                </c:pt>
                <c:pt idx="23">
                  <c:v>45304</c:v>
                </c:pt>
                <c:pt idx="24">
                  <c:v>45335</c:v>
                </c:pt>
              </c:numCache>
            </c:numRef>
          </c:cat>
          <c:val>
            <c:numRef>
              <c:f>'[^MCPI cap.xlsx]Monthly cap'!$D$183:$D$207</c:f>
              <c:numCache>
                <c:formatCode>0.000</c:formatCode>
                <c:ptCount val="25"/>
                <c:pt idx="0" formatCode="General">
                  <c:v>5.7240000000000002</c:v>
                </c:pt>
                <c:pt idx="1">
                  <c:v>6.22</c:v>
                </c:pt>
                <c:pt idx="2" formatCode="General">
                  <c:v>6.5629999999999997</c:v>
                </c:pt>
                <c:pt idx="3" formatCode="General">
                  <c:v>6.8630000000000004</c:v>
                </c:pt>
                <c:pt idx="4" formatCode="General">
                  <c:v>7.173</c:v>
                </c:pt>
                <c:pt idx="5" formatCode="General">
                  <c:v>7.4370000000000003</c:v>
                </c:pt>
                <c:pt idx="6">
                  <c:v>7.6858212841943052</c:v>
                </c:pt>
                <c:pt idx="7">
                  <c:v>7.9167928626371786</c:v>
                </c:pt>
                <c:pt idx="8">
                  <c:v>8.0393022742326856</c:v>
                </c:pt>
                <c:pt idx="9">
                  <c:v>8.058462708018288</c:v>
                </c:pt>
                <c:pt idx="10" formatCode="General">
                  <c:v>8.0030000000000001</c:v>
                </c:pt>
                <c:pt idx="11" formatCode="General">
                  <c:v>7.9080000000000004</c:v>
                </c:pt>
                <c:pt idx="12" formatCode="General">
                  <c:v>7.7489999999999997</c:v>
                </c:pt>
                <c:pt idx="13" formatCode="General">
                  <c:v>7.4459999999999997</c:v>
                </c:pt>
                <c:pt idx="14" formatCode="General">
                  <c:v>7.1630000000000003</c:v>
                </c:pt>
                <c:pt idx="15" formatCode="General">
                  <c:v>6.7779999999999996</c:v>
                </c:pt>
                <c:pt idx="16" formatCode="General">
                  <c:v>6.2619999999999996</c:v>
                </c:pt>
                <c:pt idx="17">
                  <c:v>5.8123135037927431</c:v>
                </c:pt>
                <c:pt idx="18">
                  <c:v>5.4314933910173835</c:v>
                </c:pt>
                <c:pt idx="19">
                  <c:v>5.0625340677584285</c:v>
                </c:pt>
                <c:pt idx="20">
                  <c:v>4.692696038485944</c:v>
                </c:pt>
                <c:pt idx="21">
                  <c:v>4.367828856532463</c:v>
                </c:pt>
                <c:pt idx="22">
                  <c:v>4.1163383837448997</c:v>
                </c:pt>
                <c:pt idx="23" formatCode="General">
                  <c:v>3.847</c:v>
                </c:pt>
                <c:pt idx="24" formatCode="General">
                  <c:v>3.613</c:v>
                </c:pt>
              </c:numCache>
            </c:numRef>
          </c:val>
          <c:smooth val="0"/>
          <c:extLst>
            <c:ext xmlns:c16="http://schemas.microsoft.com/office/drawing/2014/chart" uri="{C3380CC4-5D6E-409C-BE32-E72D297353CC}">
              <c16:uniqueId val="{00000000-1C44-4C11-AA3D-F3CDFE528B7A}"/>
            </c:ext>
          </c:extLst>
        </c:ser>
        <c:dLbls>
          <c:showLegendKey val="0"/>
          <c:showVal val="0"/>
          <c:showCatName val="0"/>
          <c:showSerName val="0"/>
          <c:showPercent val="0"/>
          <c:showBubbleSize val="0"/>
        </c:dLbls>
        <c:marker val="1"/>
        <c:smooth val="0"/>
        <c:axId val="140936704"/>
        <c:axId val="140939264"/>
      </c:lineChart>
      <c:dateAx>
        <c:axId val="140936704"/>
        <c:scaling>
          <c:orientation val="minMax"/>
        </c:scaling>
        <c:delete val="0"/>
        <c:axPos val="b"/>
        <c:majorGridlines>
          <c:spPr>
            <a:ln w="3175">
              <a:solidFill>
                <a:srgbClr val="C0C0C0"/>
              </a:solidFill>
              <a:prstDash val="solid"/>
            </a:ln>
          </c:spPr>
        </c:majorGridlines>
        <c:title>
          <c:tx>
            <c:rich>
              <a:bodyPr/>
              <a:lstStyle/>
              <a:p>
                <a:pPr>
                  <a:defRPr sz="800" b="1"/>
                </a:pPr>
                <a:r>
                  <a:rPr lang="en-US" sz="800" b="1"/>
                  <a:t>Month of Calculation</a:t>
                </a:r>
              </a:p>
            </c:rich>
          </c:tx>
          <c:layout>
            <c:manualLayout>
              <c:xMode val="edge"/>
              <c:yMode val="edge"/>
              <c:x val="0.35075194199209947"/>
              <c:y val="0.90623271862781096"/>
            </c:manualLayout>
          </c:layout>
          <c:overlay val="0"/>
          <c:spPr>
            <a:noFill/>
            <a:ln w="25400">
              <a:noFill/>
            </a:ln>
          </c:spPr>
        </c:title>
        <c:numFmt formatCode="[$-409]mmm\-yy;@" sourceLinked="0"/>
        <c:majorTickMark val="out"/>
        <c:minorTickMark val="out"/>
        <c:tickLblPos val="low"/>
        <c:spPr>
          <a:ln w="25400">
            <a:solidFill>
              <a:srgbClr val="000000"/>
            </a:solidFill>
            <a:prstDash val="solid"/>
          </a:ln>
        </c:spPr>
        <c:txPr>
          <a:bodyPr rot="-2700000" vert="horz"/>
          <a:lstStyle/>
          <a:p>
            <a:pPr>
              <a:defRPr sz="800"/>
            </a:pPr>
            <a:endParaRPr lang="en-US"/>
          </a:p>
        </c:txPr>
        <c:crossAx val="140939264"/>
        <c:crosses val="autoZero"/>
        <c:auto val="1"/>
        <c:lblOffset val="180"/>
        <c:baseTimeUnit val="months"/>
        <c:majorUnit val="2"/>
        <c:majorTimeUnit val="months"/>
        <c:minorUnit val="1"/>
        <c:minorTimeUnit val="months"/>
      </c:dateAx>
      <c:valAx>
        <c:axId val="140939264"/>
        <c:scaling>
          <c:orientation val="minMax"/>
        </c:scaling>
        <c:delete val="0"/>
        <c:axPos val="l"/>
        <c:majorGridlines>
          <c:spPr>
            <a:ln w="3175">
              <a:solidFill>
                <a:srgbClr val="C0C0C0"/>
              </a:solidFill>
              <a:prstDash val="solid"/>
            </a:ln>
          </c:spPr>
        </c:majorGridlines>
        <c:title>
          <c:tx>
            <c:rich>
              <a:bodyPr anchor="b" anchorCtr="1"/>
              <a:lstStyle/>
              <a:p>
                <a:pPr>
                  <a:defRPr sz="800" b="1"/>
                </a:pPr>
                <a:r>
                  <a:rPr lang="en-US" sz="800" b="1"/>
                  <a:t>Net Annualized Authority</a:t>
                </a:r>
              </a:p>
            </c:rich>
          </c:tx>
          <c:layout>
            <c:manualLayout>
              <c:xMode val="edge"/>
              <c:yMode val="edge"/>
              <c:x val="8.6428590365598239E-3"/>
              <c:y val="0.19073962347468223"/>
            </c:manualLayout>
          </c:layout>
          <c:overlay val="0"/>
          <c:spPr>
            <a:noFill/>
            <a:ln w="25400">
              <a:noFill/>
            </a:ln>
          </c:spPr>
        </c:title>
        <c:numFmt formatCode="0.0" sourceLinked="0"/>
        <c:majorTickMark val="out"/>
        <c:minorTickMark val="out"/>
        <c:tickLblPos val="nextTo"/>
        <c:spPr>
          <a:ln w="9525">
            <a:noFill/>
          </a:ln>
        </c:spPr>
        <c:txPr>
          <a:bodyPr rot="0" vert="horz"/>
          <a:lstStyle/>
          <a:p>
            <a:pPr>
              <a:defRPr sz="800"/>
            </a:pPr>
            <a:endParaRPr lang="en-US"/>
          </a:p>
        </c:txPr>
        <c:crossAx val="140936704"/>
        <c:crosses val="autoZero"/>
        <c:crossBetween val="midCat"/>
      </c:valAx>
      <c:spPr>
        <a:pattFill prst="pct5">
          <a:fgClr>
            <a:srgbClr val="FFFFFF"/>
          </a:fgClr>
          <a:bgClr>
            <a:srgbClr val="FFFFFF"/>
          </a:bgClr>
        </a:pattFill>
        <a:ln w="3175">
          <a:solidFill>
            <a:srgbClr val="000000"/>
          </a:solidFill>
          <a:prstDash val="solid"/>
        </a:ln>
      </c:spPr>
    </c:plotArea>
    <c:plotVisOnly val="1"/>
    <c:dispBlanksAs val="gap"/>
    <c:showDLblsOverMax val="0"/>
  </c:chart>
  <c:spPr>
    <a:solidFill>
      <a:srgbClr val="FFFFFF"/>
    </a:solidFill>
    <a:ln w="3175">
      <a:solidFill>
        <a:schemeClr val="tx1"/>
      </a:solidFill>
      <a:prstDash val="solid"/>
    </a:ln>
  </c:spPr>
  <c:txPr>
    <a:bodyPr/>
    <a:lstStyle/>
    <a:p>
      <a:pPr>
        <a:defRPr sz="1025" b="0" i="0" u="none" strike="noStrike" baseline="0">
          <a:solidFill>
            <a:srgbClr val="000000"/>
          </a:solidFill>
          <a:latin typeface="+mn-lt"/>
          <a:ea typeface="Arial"/>
          <a:cs typeface="Arial"/>
        </a:defRPr>
      </a:pPr>
      <a:endParaRPr lang="en-US"/>
    </a:p>
  </c:txPr>
  <c:externalData r:id="rId1">
    <c:autoUpdate val="0"/>
  </c:externalData>
</c:chartSpace>
</file>

<file path=word/theme/theme1.xml><?xml version="1.0" encoding="utf-8"?>
<a:theme xmlns:a="http://schemas.openxmlformats.org/drawingml/2006/main" name="MHNews">
  <a:themeElements>
    <a:clrScheme name="PPTS">
      <a:dk1>
        <a:srgbClr val="165788"/>
      </a:dk1>
      <a:lt1>
        <a:srgbClr val="FFFFFF"/>
      </a:lt1>
      <a:dk2>
        <a:srgbClr val="CE8E00"/>
      </a:dk2>
      <a:lt2>
        <a:srgbClr val="AB8422"/>
      </a:lt2>
      <a:accent1>
        <a:srgbClr val="003F72"/>
      </a:accent1>
      <a:accent2>
        <a:srgbClr val="B7621B"/>
      </a:accent2>
      <a:accent3>
        <a:srgbClr val="662046"/>
      </a:accent3>
      <a:accent4>
        <a:srgbClr val="2C5E4F"/>
      </a:accent4>
      <a:accent5>
        <a:srgbClr val="1E9D8B"/>
      </a:accent5>
      <a:accent6>
        <a:srgbClr val="723D14"/>
      </a:accent6>
      <a:hlink>
        <a:srgbClr val="165788"/>
      </a:hlink>
      <a:folHlink>
        <a:srgbClr val="16578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2731</Words>
  <Characters>15567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Raymond</dc:creator>
  <cp:keywords/>
  <dc:description/>
  <cp:lastModifiedBy>Valerie Sheinker</cp:lastModifiedBy>
  <cp:revision>2</cp:revision>
  <dcterms:created xsi:type="dcterms:W3CDTF">2024-03-25T14:13:00Z</dcterms:created>
  <dcterms:modified xsi:type="dcterms:W3CDTF">2024-03-25T14:13:00Z</dcterms:modified>
</cp:coreProperties>
</file>